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8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47472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Hoel Chris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GETTY IMAGES HOLDINGS, INC.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605 5TH AVENUE SOUTH, SUITE 400</w:t>
      </w:r>
    </w:p>
    <w:p>
      <w:pPr>
        <w:spacing w:after="0" w:line="29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0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SEATTLE</w:t>
            </w:r>
          </w:p>
        </w:tc>
        <w:tc>
          <w:tcPr>
            <w:tcW w:w="10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WA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98104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7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Getty Images Holdings, Inc.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GETY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Chief Accounting Officer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4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12/05/2022</w:t>
            </w: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33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100"/>
        <w:spacing w:after="0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4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140" w:type="dxa"/>
            <w:vAlign w:val="bottom"/>
            <w:gridSpan w:val="7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12/05/2022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32,458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7"/>
                <w:vertAlign w:val="superscript"/>
              </w:rPr>
              <w:t>(1)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32,458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9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4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40" w:type="dxa"/>
            <w:vAlign w:val="bottom"/>
          </w:tcPr>
          <w:p>
            <w:pPr>
              <w:ind w:left="4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Unless otherwise provided, on each Vesting Date shares of common stock will automatically be sold to satisfy the Reporting Person's tax withholding obligations in a non-discretionary transaction.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Includes 32,458 unvested restricted stock units.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ind w:left="6580"/>
        <w:spacing w:after="0" w:line="227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 xml:space="preserve">/s/ Kjelti Kellough, as attorney </w:t>
      </w:r>
      <w:r>
        <w:rPr>
          <w:rFonts w:ascii="Times New Roman" w:cs="Times New Roman" w:eastAsia="Times New Roman" w:hAnsi="Times New Roman"/>
          <w:sz w:val="34"/>
          <w:szCs w:val="34"/>
          <w:color w:val="0000FF"/>
          <w:vertAlign w:val="subscript"/>
        </w:rPr>
        <w:t>12/07/2022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-27305</wp:posOffset>
            </wp:positionV>
            <wp:extent cx="135318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318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in fact for Chris Hoel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-17145</wp:posOffset>
            </wp:positionV>
            <wp:extent cx="94107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107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5580380</wp:posOffset>
            </wp:positionH>
            <wp:positionV relativeFrom="paragraph">
              <wp:posOffset>-84455</wp:posOffset>
            </wp:positionV>
            <wp:extent cx="50101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939083" TargetMode="External"/><Relationship Id="rId13" Type="http://schemas.openxmlformats.org/officeDocument/2006/relationships/hyperlink" Target="http://www.sec.gov/cgi-bin/browse-edgar?action=getcompany&amp;CIK=000189849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2022-12-07T17:23:50Z</dcterms:created>
  <dcterms:modified xsi:type="dcterms:W3CDTF">2022-12-07T17:23:50Z</dcterms:modified>
</cp:coreProperties>
</file>