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109-8k_getty.htm"/>
      <w:bookmarkStart w:id="1" w:name="ksea03041098k_gett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3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Getty Images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center"/>
              <w:rPr>
                <w:b/>
                <w:sz w:val="20"/>
              </w:rPr>
            </w:pPr>
            <w:bookmarkStart w:id="6" w:name="xdx_90F_edei--EntityFileNumber_c20260831"/>
            <w:bookmarkEnd w:id="6"/>
            <w:r>
              <w:rPr>
                <w:b/>
                <w:sz w:val="20"/>
              </w:rPr>
              <w:t>001-41453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87-3764229</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8" w:name="xdx_905_edei--EntityAddressAddressLine1_"/>
      <w:bookmarkEnd w:id="8"/>
      <w:r>
        <w:rPr>
          <w:b/>
        </w:rPr>
        <w:t>605 5th Ave S. Suite 400</w:t>
      </w:r>
      <w:r>
        <w:rPr/>
        <w:t xml:space="preserve"> </w:t>
      </w:r>
    </w:p>
    <w:p>
      <w:pPr>
        <w:pStyle w:val="TextBody"/>
        <w:bidi w:val="0"/>
        <w:jc w:val="center"/>
        <w:rPr>
          <w:b/>
        </w:rPr>
      </w:pPr>
      <w:bookmarkStart w:id="9" w:name="xdx_90C_edei--EntityAddressCityOrTown_c2"/>
      <w:bookmarkEnd w:id="9"/>
      <w:r>
        <w:rPr>
          <w:b/>
        </w:rPr>
        <w:t xml:space="preserve">Seattle, </w:t>
      </w:r>
      <w:bookmarkStart w:id="10" w:name="xdx_907_edei--EntityAddressStateOrProvin"/>
      <w:bookmarkEnd w:id="10"/>
      <w:r>
        <w:rPr>
          <w:b/>
        </w:rPr>
        <w:t xml:space="preserve">WA </w:t>
      </w:r>
      <w:bookmarkStart w:id="11" w:name="xdx_903_edei--EntityAddressPostalZipCode"/>
      <w:bookmarkEnd w:id="11"/>
      <w:r>
        <w:rPr>
          <w:b/>
        </w:rPr>
        <w:t>98104</w:t>
      </w:r>
    </w:p>
    <w:p>
      <w:pPr>
        <w:pStyle w:val="TextBody"/>
        <w:bidi w:val="0"/>
        <w:jc w:val="center"/>
        <w:rPr>
          <w:b/>
        </w:rPr>
      </w:pPr>
      <w:r>
        <w:rPr>
          <w:b/>
        </w:rPr>
        <w:t>(Address of principal executive offices, including Zip Code)</w:t>
      </w:r>
    </w:p>
    <w:p>
      <w:pPr>
        <w:pStyle w:val="TextBody"/>
        <w:bidi w:val="0"/>
        <w:jc w:val="center"/>
        <w:rPr/>
      </w:pPr>
      <w:r>
        <w:rPr/>
        <w:t> </w:t>
      </w:r>
    </w:p>
    <w:p>
      <w:pPr>
        <w:pStyle w:val="TextBody"/>
        <w:bidi w:val="0"/>
        <w:jc w:val="center"/>
        <w:rPr/>
      </w:pPr>
      <w:r>
        <w:rPr/>
        <w:t xml:space="preserve">Registrant’s telephone number, including area code: </w:t>
      </w:r>
      <w:r>
        <w:rPr>
          <w:b/>
        </w:rPr>
        <w:t>(</w:t>
      </w:r>
      <w:bookmarkStart w:id="12" w:name="xdx_900_edei--CityAreaCode_c20260831__20"/>
      <w:bookmarkEnd w:id="12"/>
      <w:r>
        <w:rPr>
          <w:b/>
        </w:rPr>
        <w:t xml:space="preserve">206) </w:t>
      </w:r>
      <w:bookmarkStart w:id="13" w:name="xdx_90A_edei--LocalPhoneNumber_c20260831"/>
      <w:bookmarkEnd w:id="13"/>
      <w:r>
        <w:rPr>
          <w:b/>
        </w:rPr>
        <w:t>925-5000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shd w:fill="FFFFFF" w:val="clear"/>
        <w:tblLayout w:type="fixed"/>
        <w:tblCellMar>
          <w:top w:w="0" w:type="dxa"/>
          <w:left w:w="0" w:type="dxa"/>
          <w:bottom w:w="28" w:type="dxa"/>
          <w:right w:w="0" w:type="dxa"/>
        </w:tblCellMar>
      </w:tblPr>
      <w:tblGrid>
        <w:gridCol w:w="1955"/>
        <w:gridCol w:w="60"/>
        <w:gridCol w:w="1610"/>
        <w:gridCol w:w="60"/>
        <w:gridCol w:w="3845"/>
      </w:tblGrid>
      <w:tr>
        <w:trPr/>
        <w:tc>
          <w:tcPr>
            <w:tcW w:w="195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4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E_edei--Security12bTitle_c20260831"/>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1_edei--TradingSymbol_c20260831__2"/>
            <w:bookmarkEnd w:id="19"/>
            <w:r>
              <w:rPr>
                <w:sz w:val="20"/>
              </w:rPr>
              <w:t>GETY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45" w:type="dxa"/>
            <w:tcBorders/>
            <w:shd w:fill="CCEEFF" w:val="clear"/>
            <w:tcMar>
              <w:bottom w:w="0" w:type="dxa"/>
            </w:tcMar>
            <w:vAlign w:val="center"/>
          </w:tcPr>
          <w:p>
            <w:pPr>
              <w:pStyle w:val="TableContents"/>
              <w:bidi w:val="0"/>
              <w:spacing w:before="0" w:after="283"/>
              <w:jc w:val="center"/>
              <w:rPr>
                <w:sz w:val="20"/>
              </w:rPr>
            </w:pPr>
            <w:bookmarkStart w:id="20" w:name="xdx_906_edei--SecurityExchangeName_c2026"/>
            <w:bookmarkEnd w:id="20"/>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1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Getty Images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actively assessing plans intended to improve liquidity and has engaged Guggenheim Securities, LLC to serve as financial advisor in connection with the evaluation of strategic financing alternatives and balance sheet management initiatives. Alternatives include a potential capital solution to be provided by the Company’s majority equity holders who, as previously disclosed in their Schedule 13Ds, have formed a “group” within the meaning of Section 13(d)(3) of the Securities Exchange Act of 1934 to advance discussions with the Company on such a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maximize financial flexibility in connection with this evaluation, the Company intends to elect to rely on its available 30-day grace periods with respect to interest payments due on the Senior Unsecured Notes (as defined below) on September 1, 2026. The Company has sufficient cash on hand to make the payments and meet its day-to-day obligations and retains the right to make the interest payments during the grace period. The Company’s decision would not represent an “event of default” with respect to the Senior Unsecured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30-day grace periods are provided under indentures governing the (i) 9.750% Senior Notes due 2027 (the “</w:t>
      </w:r>
      <w:r>
        <w:rPr>
          <w:rFonts w:ascii="Times New Roman;Times;Serif" w:hAnsi="Times New Roman;Times;Serif"/>
          <w:b w:val="false"/>
          <w:i w:val="false"/>
          <w:caps w:val="false"/>
          <w:smallCaps w:val="false"/>
          <w:sz w:val="20"/>
          <w:u w:val="single"/>
        </w:rPr>
        <w:t>9.750% Senior Unsecured Notes</w:t>
      </w:r>
      <w:r>
        <w:rPr>
          <w:rFonts w:ascii="Times New Roman;Times;Serif" w:hAnsi="Times New Roman;Times;Serif"/>
          <w:b w:val="false"/>
          <w:i w:val="false"/>
          <w:caps w:val="false"/>
          <w:smallCaps w:val="false"/>
          <w:sz w:val="20"/>
        </w:rPr>
        <w:t>”) and (ii) 14.000% Senior Notes due 2028 (the “</w:t>
      </w:r>
      <w:r>
        <w:rPr>
          <w:rFonts w:ascii="Times New Roman;Times;Serif" w:hAnsi="Times New Roman;Times;Serif"/>
          <w:b w:val="false"/>
          <w:i w:val="false"/>
          <w:caps w:val="false"/>
          <w:smallCaps w:val="false"/>
          <w:sz w:val="20"/>
          <w:u w:val="single"/>
        </w:rPr>
        <w:t>14.000% Senior Unsecured Notes</w:t>
      </w:r>
      <w:r>
        <w:rPr>
          <w:rFonts w:ascii="Times New Roman;Times;Serif" w:hAnsi="Times New Roman;Times;Serif"/>
          <w:b w:val="false"/>
          <w:i w:val="false"/>
          <w:caps w:val="false"/>
          <w:smallCaps w:val="false"/>
          <w:sz w:val="20"/>
        </w:rPr>
        <w:t>” and together with the 9.750% Senior Unsecured Notes, the “</w:t>
      </w:r>
      <w:r>
        <w:rPr>
          <w:rFonts w:ascii="Times New Roman;Times;Serif" w:hAnsi="Times New Roman;Times;Serif"/>
          <w:b w:val="false"/>
          <w:i w:val="false"/>
          <w:caps w:val="false"/>
          <w:smallCaps w:val="false"/>
          <w:sz w:val="20"/>
          <w:u w:val="single"/>
        </w:rPr>
        <w:t>Senior Unsecured Notes</w:t>
      </w:r>
      <w:r>
        <w:rPr>
          <w:rFonts w:ascii="Times New Roman;Times;Serif" w:hAnsi="Times New Roman;Times;Serif"/>
          <w:b w:val="false"/>
          <w:i w:val="false"/>
          <w:caps w:val="false"/>
          <w:smallCaps w:val="false"/>
          <w:sz w:val="20"/>
        </w:rPr>
        <w:t>”) issued by Getty Images,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report that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our ability to successfully identify and implement any potential strategic alternatives in a timely manner or at all, our ability to consummate a potential capital solution with our major equityholders, and the perceived uncertainties related to the Company, the risks associated with our expression of substantial doubt about our ability to continue as a going concern, our inability to continue to license third-party content and offer relevant quality and diversity of content to satisfy customer needs; our ability to attract new customers and retain and motivate an increase in spending by our existing customers;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(“AI”);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the impact of recent bank failures on the marketplace and the ability to access credit and significant political or civil disturbances in international markets where we conduct business; the risk that claims, judgements, lawsuits and other proceedings that have been, or may be, instituted against us or our predecessors could adversely affect our business; the inability to maintain the listing of our Class A common stock on the New York Stock Exchange; volatility in our stock price and in the liquidity of the trading market for our Class A common stock;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U.S. securities laws;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other risks and uncertainties identified in “Item 1A. Risk Factors” of our most recently filed Annual Report on Form 10-K for the year ended December 31, 2025, filed with the Securities and Exchange Commission (“SEC”) on March 16, 2026, as amended by Amendment No. 1 on Form 10-K/A filed with the SEC on April 27, 2026 (the “2025 Form 10-K”) and in our other filings with the SEC. If any of these risks materialize or our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and in our other filings with the SEC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504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0" w:type="dxa"/>
          <w:right w:w="0" w:type="dxa"/>
        </w:tblCellMar>
      </w:tblPr>
      <w:tblGrid>
        <w:gridCol w:w="2195"/>
        <w:gridCol w:w="710"/>
        <w:gridCol w:w="6215"/>
      </w:tblGrid>
      <w:tr>
        <w:trPr/>
        <w:tc>
          <w:tcPr>
            <w:tcW w:w="2195" w:type="dxa"/>
            <w:tcBorders/>
            <w:vAlign w:val="center"/>
          </w:tcPr>
          <w:p>
            <w:pPr>
              <w:pStyle w:val="TableContents"/>
              <w:bidi w:val="0"/>
              <w:spacing w:before="0" w:after="283"/>
              <w:jc w:val="left"/>
              <w:rPr/>
            </w:pPr>
            <w:r>
              <w:rPr/>
              <w:t> </w:t>
            </w:r>
          </w:p>
        </w:tc>
        <w:tc>
          <w:tcPr>
            <w:tcW w:w="6925" w:type="dxa"/>
            <w:gridSpan w:val="2"/>
            <w:tcBorders/>
            <w:vAlign w:val="center"/>
          </w:tcPr>
          <w:p>
            <w:pPr>
              <w:pStyle w:val="TableContents"/>
              <w:bidi w:val="0"/>
              <w:spacing w:before="0" w:after="283"/>
              <w:jc w:val="left"/>
              <w:rPr>
                <w:b/>
              </w:rPr>
            </w:pPr>
            <w:r>
              <w:rPr>
                <w:b/>
              </w:rPr>
              <w:t>GETTY IMAGES HOLDINGS, INC.</w:t>
            </w:r>
          </w:p>
        </w:tc>
      </w:tr>
      <w:tr>
        <w:trPr/>
        <w:tc>
          <w:tcPr>
            <w:tcW w:w="2195" w:type="dxa"/>
            <w:tcBorders/>
            <w:vAlign w:val="center"/>
          </w:tcPr>
          <w:p>
            <w:pPr>
              <w:pStyle w:val="TableContents"/>
              <w:bidi w:val="0"/>
              <w:spacing w:before="0" w:after="283"/>
              <w:jc w:val="left"/>
              <w:rPr/>
            </w:pPr>
            <w:r>
              <w:rPr/>
              <w:t> </w:t>
            </w:r>
          </w:p>
        </w:tc>
        <w:tc>
          <w:tcPr>
            <w:tcW w:w="6925"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31, 2026</w:t>
            </w:r>
          </w:p>
        </w:tc>
        <w:tc>
          <w:tcPr>
            <w:tcW w:w="710" w:type="dxa"/>
            <w:tcBorders/>
            <w:vAlign w:val="center"/>
          </w:tcPr>
          <w:p>
            <w:pPr>
              <w:pStyle w:val="TableContents"/>
              <w:bidi w:val="0"/>
              <w:spacing w:before="0" w:after="283"/>
              <w:jc w:val="left"/>
              <w:rPr/>
            </w:pPr>
            <w:r>
              <w:rPr/>
              <w:t>By:</w:t>
            </w:r>
          </w:p>
        </w:tc>
        <w:tc>
          <w:tcPr>
            <w:tcW w:w="6215" w:type="dxa"/>
            <w:tcBorders>
              <w:bottom w:val="single" w:sz="12" w:space="0" w:color="000000"/>
            </w:tcBorders>
            <w:tcMar>
              <w:bottom w:w="28" w:type="dxa"/>
            </w:tcMar>
            <w:vAlign w:val="center"/>
          </w:tcPr>
          <w:p>
            <w:pPr>
              <w:pStyle w:val="TableContents"/>
              <w:bidi w:val="0"/>
              <w:spacing w:before="0" w:after="283"/>
              <w:jc w:val="left"/>
              <w:rPr/>
            </w:pPr>
            <w:r>
              <w:rPr/>
              <w:t>/s/ Kjelti Kellough</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6215" w:type="dxa"/>
            <w:tcBorders/>
            <w:vAlign w:val="center"/>
          </w:tcPr>
          <w:p>
            <w:pPr>
              <w:pStyle w:val="TableContents"/>
              <w:bidi w:val="0"/>
              <w:spacing w:before="0" w:after="283"/>
              <w:jc w:val="left"/>
              <w:rPr/>
            </w:pPr>
            <w:r>
              <w:rPr/>
              <w:t>Kjelti Kellough</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621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1855</Words>
  <Characters>10296</Characters>
  <CharactersWithSpaces>12149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