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Farhall Grant</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GETTY IMAGES HOLDINGS,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605 5TH AVENUE SOUTH, SUITE 400</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SEATTLE</w:t>
            </w:r>
          </w:p>
        </w:tc>
        <w:tc>
          <w:tcPr>
            <w:tcW w:w="10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WA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98104</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Getty Images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GETY</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280" w:type="dxa"/>
            <w:vAlign w:val="bottom"/>
            <w:tcBorders>
              <w:bottom w:val="single" w:sz="8" w:color="0000EE"/>
            </w:tcBorders>
          </w:tcPr>
          <w:p>
            <w:pPr>
              <w:spacing w:after="0"/>
              <w:rPr>
                <w:sz w:val="3"/>
                <w:szCs w:val="3"/>
                <w:color w:val="auto"/>
              </w:rPr>
            </w:pPr>
          </w:p>
        </w:tc>
        <w:tc>
          <w:tcPr>
            <w:tcW w:w="1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280" w:type="dxa"/>
            <w:vAlign w:val="bottom"/>
            <w:tcBorders>
              <w:bottom w:val="single" w:sz="8" w:color="2C2C2C"/>
            </w:tcBorders>
          </w:tcPr>
          <w:p>
            <w:pPr>
              <w:spacing w:after="0"/>
              <w:rPr>
                <w:sz w:val="2"/>
                <w:szCs w:val="2"/>
                <w:color w:val="auto"/>
              </w:rPr>
            </w:pPr>
          </w:p>
        </w:tc>
        <w:tc>
          <w:tcPr>
            <w:tcW w:w="1340" w:type="dxa"/>
            <w:vAlign w:val="bottom"/>
            <w:tcBorders>
              <w:bottom w:val="single" w:sz="8" w:color="2C2C2C"/>
            </w:tcBorders>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2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100" w:type="dxa"/>
            <w:vAlign w:val="bottom"/>
            <w:gridSpan w:val="2"/>
            <w:vMerge w:val="restart"/>
          </w:tcPr>
          <w:p>
            <w:pPr>
              <w:ind w:left="700"/>
              <w:spacing w:after="0"/>
              <w:rPr>
                <w:sz w:val="20"/>
                <w:szCs w:val="20"/>
                <w:color w:val="auto"/>
              </w:rPr>
            </w:pPr>
            <w:r>
              <w:rPr>
                <w:rFonts w:ascii="Times New Roman" w:cs="Times New Roman" w:eastAsia="Times New Roman" w:hAnsi="Times New Roman"/>
                <w:sz w:val="17"/>
                <w:szCs w:val="17"/>
                <w:color w:val="0000FF"/>
              </w:rPr>
              <w:t>Chief Product Officer</w:t>
            </w:r>
          </w:p>
        </w:tc>
        <w:tc>
          <w:tcPr>
            <w:tcW w:w="0" w:type="dxa"/>
            <w:vAlign w:val="bottom"/>
          </w:tcPr>
          <w:p>
            <w:pPr>
              <w:spacing w:after="0"/>
              <w:rPr>
                <w:sz w:val="1"/>
                <w:szCs w:val="1"/>
                <w:color w:val="auto"/>
              </w:rPr>
            </w:pPr>
          </w:p>
        </w:tc>
      </w:tr>
      <w:tr>
        <w:trPr>
          <w:trHeight w:val="226"/>
        </w:trPr>
        <w:tc>
          <w:tcPr>
            <w:tcW w:w="24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03/20/2025</w:t>
            </w: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28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03/20/2025</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46,645</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2.19</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298,260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performance condition for a portion of a performance restricted stock unit award ("PSU") previously granted to the Reporting Person was satisfied and vested on March 20, 2025. Each vested PSU will be settled for one share of Class A Common Stock of the Issuer.</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Kjelti Kellough, as attorney </w:t>
      </w:r>
      <w:r>
        <w:rPr>
          <w:rFonts w:ascii="Times New Roman" w:cs="Times New Roman" w:eastAsia="Times New Roman" w:hAnsi="Times New Roman"/>
          <w:sz w:val="34"/>
          <w:szCs w:val="34"/>
          <w:color w:val="0000FF"/>
          <w:vertAlign w:val="subscript"/>
        </w:rPr>
        <w:t>03/24/2025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31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 fact for Grant Farhall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0509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5092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39092" TargetMode="External"/><Relationship Id="rId14" Type="http://schemas.openxmlformats.org/officeDocument/2006/relationships/hyperlink" Target="http://www.sec.gov/cgi-bin/browse-edgar?action=getcompany&amp;CIK=000189849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2025-03-24T15:58:54Z</dcterms:created>
  <dcterms:modified xsi:type="dcterms:W3CDTF">2025-03-24T15:58:54Z</dcterms:modified>
</cp:coreProperties>
</file>