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Filed by CC Neuberger Principal Holdings II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425 under the Securities Act of 1933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and deemed filed pursuant to Rule 14a-12</w:t>
      </w:r>
    </w:p>
    <w:p>
      <w:pPr>
        <w:jc w:val="right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under the Securities Exchange Act of 1934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Subject Company: Vector Holding, LLC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-713105</wp:posOffset>
            </wp:positionH>
            <wp:positionV relativeFrom="paragraph">
              <wp:posOffset>136525</wp:posOffset>
            </wp:positionV>
            <wp:extent cx="7203440" cy="4203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431" w:right="3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418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4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26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2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11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1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113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1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4482465</wp:posOffset>
            </wp:positionV>
            <wp:extent cx="7148195" cy="76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4482465</wp:posOffset>
            </wp:positionV>
            <wp:extent cx="7148195" cy="76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037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1894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1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286385</wp:posOffset>
            </wp:positionV>
            <wp:extent cx="7203440" cy="421894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1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2022-02-23T05:24:47Z</dcterms:created>
  <dcterms:modified xsi:type="dcterms:W3CDTF">2022-02-23T05:24:47Z</dcterms:modified>
</cp:coreProperties>
</file>