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0001306507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91"/>
        <w:gridCol w:w="3814"/>
      </w:tblGrid>
      <w:tr>
        <w:trPr/>
        <w:tc>
          <w:tcPr>
            <w:tcW w:w="6391" w:type="dxa"/>
            <w:tcBorders/>
            <w:vAlign w:val="center"/>
          </w:tcPr>
          <w:p>
            <w:pPr>
              <w:pStyle w:val="TableContents"/>
              <w:bidi w:val="0"/>
              <w:spacing w:before="0" w:after="283"/>
              <w:jc w:val="left"/>
              <w:rPr/>
            </w:pPr>
            <w:r>
              <w:rPr/>
              <w:t>Name of Issuer</w:t>
            </w:r>
          </w:p>
        </w:tc>
        <w:tc>
          <w:tcPr>
            <w:tcW w:w="3814" w:type="dxa"/>
            <w:tcBorders/>
            <w:vAlign w:val="center"/>
          </w:tcPr>
          <w:p>
            <w:pPr>
              <w:pStyle w:val="TableContents"/>
              <w:bidi w:val="0"/>
              <w:spacing w:before="0" w:after="0"/>
              <w:jc w:val="left"/>
              <w:rPr/>
            </w:pPr>
            <w:r>
              <w:rPr/>
              <w:t>Getty Images Holdings, Inc.</w:t>
            </w:r>
          </w:p>
        </w:tc>
      </w:tr>
      <w:tr>
        <w:trPr/>
        <w:tc>
          <w:tcPr>
            <w:tcW w:w="6391" w:type="dxa"/>
            <w:tcBorders/>
            <w:vAlign w:val="center"/>
          </w:tcPr>
          <w:p>
            <w:pPr>
              <w:pStyle w:val="TableContents"/>
              <w:bidi w:val="0"/>
              <w:spacing w:before="0" w:after="283"/>
              <w:jc w:val="left"/>
              <w:rPr/>
            </w:pPr>
            <w:r>
              <w:rPr/>
              <w:t>SEC File Number</w:t>
            </w:r>
          </w:p>
        </w:tc>
        <w:tc>
          <w:tcPr>
            <w:tcW w:w="3814" w:type="dxa"/>
            <w:tcBorders/>
            <w:vAlign w:val="center"/>
          </w:tcPr>
          <w:p>
            <w:pPr>
              <w:pStyle w:val="TableContents"/>
              <w:bidi w:val="0"/>
              <w:spacing w:before="0" w:after="0"/>
              <w:jc w:val="left"/>
              <w:rPr/>
            </w:pPr>
            <w:r>
              <w:rPr/>
              <w:t>001-41453</w:t>
            </w:r>
          </w:p>
        </w:tc>
      </w:tr>
      <w:tr>
        <w:trPr/>
        <w:tc>
          <w:tcPr>
            <w:tcW w:w="6391" w:type="dxa"/>
            <w:tcBorders/>
            <w:vAlign w:val="center"/>
          </w:tcPr>
          <w:p>
            <w:pPr>
              <w:pStyle w:val="TableContents"/>
              <w:bidi w:val="0"/>
              <w:spacing w:before="0" w:after="283"/>
              <w:jc w:val="left"/>
              <w:rPr/>
            </w:pPr>
            <w:r>
              <w:rPr/>
              <w:t>Address of Issuer</w:t>
            </w:r>
          </w:p>
        </w:tc>
        <w:tc>
          <w:tcPr>
            <w:tcW w:w="3814" w:type="dxa"/>
            <w:tcBorders/>
            <w:vAlign w:val="center"/>
          </w:tcPr>
          <w:p>
            <w:pPr>
              <w:pStyle w:val="TableContents"/>
              <w:bidi w:val="0"/>
              <w:spacing w:before="0" w:after="0"/>
              <w:jc w:val="left"/>
              <w:rPr/>
            </w:pPr>
            <w:r>
              <w:rPr/>
              <w:t>605 5th Avenue S.</w:t>
              <w:br/>
              <w:t>Suite 400</w:t>
              <w:br/>
              <w:t>Seattle</w:t>
              <w:br/>
              <w:t xml:space="preserve">WASHINGTON </w:t>
              <w:br/>
              <w:t>98104</w:t>
            </w:r>
          </w:p>
        </w:tc>
      </w:tr>
      <w:tr>
        <w:trPr/>
        <w:tc>
          <w:tcPr>
            <w:tcW w:w="6391" w:type="dxa"/>
            <w:tcBorders/>
            <w:vAlign w:val="center"/>
          </w:tcPr>
          <w:p>
            <w:pPr>
              <w:pStyle w:val="TableContents"/>
              <w:bidi w:val="0"/>
              <w:spacing w:before="0" w:after="283"/>
              <w:jc w:val="left"/>
              <w:rPr/>
            </w:pPr>
            <w:r>
              <w:rPr/>
              <w:t>Phone</w:t>
            </w:r>
          </w:p>
        </w:tc>
        <w:tc>
          <w:tcPr>
            <w:tcW w:w="3814" w:type="dxa"/>
            <w:tcBorders/>
            <w:vAlign w:val="center"/>
          </w:tcPr>
          <w:p>
            <w:pPr>
              <w:pStyle w:val="TableContents"/>
              <w:bidi w:val="0"/>
              <w:spacing w:before="0" w:after="0"/>
              <w:jc w:val="left"/>
              <w:rPr/>
            </w:pPr>
            <w:r>
              <w:rPr/>
              <w:t>206-925-5000</w:t>
            </w:r>
          </w:p>
        </w:tc>
      </w:tr>
      <w:tr>
        <w:trPr/>
        <w:tc>
          <w:tcPr>
            <w:tcW w:w="6391" w:type="dxa"/>
            <w:tcBorders/>
            <w:vAlign w:val="center"/>
          </w:tcPr>
          <w:p>
            <w:pPr>
              <w:pStyle w:val="TableContents"/>
              <w:bidi w:val="0"/>
              <w:spacing w:before="0" w:after="283"/>
              <w:jc w:val="left"/>
              <w:rPr/>
            </w:pPr>
            <w:r>
              <w:rPr/>
              <w:t>Name of Person for Whose Account the Securities are To Be Sold</w:t>
            </w:r>
          </w:p>
        </w:tc>
        <w:tc>
          <w:tcPr>
            <w:tcW w:w="3814" w:type="dxa"/>
            <w:tcBorders/>
            <w:vAlign w:val="center"/>
          </w:tcPr>
          <w:p>
            <w:pPr>
              <w:pStyle w:val="TableContents"/>
              <w:bidi w:val="0"/>
              <w:spacing w:before="0" w:after="0"/>
              <w:jc w:val="left"/>
              <w:rPr/>
            </w:pPr>
            <w:r>
              <w:rPr/>
              <w:t>Chinh Chu(1)</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91" w:type="dxa"/>
            <w:tcBorders/>
            <w:vAlign w:val="center"/>
          </w:tcPr>
          <w:p>
            <w:pPr>
              <w:pStyle w:val="TableContents"/>
              <w:bidi w:val="0"/>
              <w:spacing w:before="0" w:after="283"/>
              <w:jc w:val="left"/>
              <w:rPr/>
            </w:pPr>
            <w:r>
              <w:rPr/>
              <w:t>Relationship to Issuer</w:t>
            </w:r>
          </w:p>
        </w:tc>
        <w:tc>
          <w:tcPr>
            <w:tcW w:w="381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0"/>
        <w:gridCol w:w="1456"/>
        <w:gridCol w:w="1243"/>
        <w:gridCol w:w="1550"/>
        <w:gridCol w:w="1529"/>
        <w:gridCol w:w="1553"/>
        <w:gridCol w:w="1354"/>
      </w:tblGrid>
      <w:tr>
        <w:trPr/>
        <w:tc>
          <w:tcPr>
            <w:tcW w:w="1520" w:type="dxa"/>
            <w:tcBorders/>
            <w:vAlign w:val="center"/>
          </w:tcPr>
          <w:p>
            <w:pPr>
              <w:pStyle w:val="TableHeading"/>
              <w:suppressLineNumbers/>
              <w:bidi w:val="0"/>
              <w:spacing w:before="0" w:after="283"/>
              <w:jc w:val="center"/>
              <w:rPr/>
            </w:pPr>
            <w:r>
              <w:rPr/>
              <w:t>Title of the Class of Securities To Be Sold</w:t>
            </w:r>
          </w:p>
        </w:tc>
        <w:tc>
          <w:tcPr>
            <w:tcW w:w="1456" w:type="dxa"/>
            <w:tcBorders/>
            <w:vAlign w:val="center"/>
          </w:tcPr>
          <w:p>
            <w:pPr>
              <w:pStyle w:val="TableHeading"/>
              <w:suppressLineNumbers/>
              <w:bidi w:val="0"/>
              <w:spacing w:before="0" w:after="283"/>
              <w:jc w:val="center"/>
              <w:rPr/>
            </w:pPr>
            <w:r>
              <w:rPr/>
              <w:t>Name and Address of the Broker</w:t>
            </w:r>
          </w:p>
        </w:tc>
        <w:tc>
          <w:tcPr>
            <w:tcW w:w="1243" w:type="dxa"/>
            <w:tcBorders/>
            <w:vAlign w:val="center"/>
          </w:tcPr>
          <w:p>
            <w:pPr>
              <w:pStyle w:val="TableHeading"/>
              <w:suppressLineNumbers/>
              <w:bidi w:val="0"/>
              <w:spacing w:before="0" w:after="283"/>
              <w:jc w:val="center"/>
              <w:rPr/>
            </w:pPr>
            <w:r>
              <w:rPr/>
              <w:t>Number of Shares or Other Units To Be Sold</w:t>
            </w:r>
          </w:p>
        </w:tc>
        <w:tc>
          <w:tcPr>
            <w:tcW w:w="1550" w:type="dxa"/>
            <w:tcBorders/>
            <w:vAlign w:val="center"/>
          </w:tcPr>
          <w:p>
            <w:pPr>
              <w:pStyle w:val="TableHeading"/>
              <w:suppressLineNumbers/>
              <w:bidi w:val="0"/>
              <w:spacing w:before="0" w:after="283"/>
              <w:jc w:val="center"/>
              <w:rPr/>
            </w:pPr>
            <w:r>
              <w:rPr/>
              <w:t>Aggregate Market Value</w:t>
            </w:r>
          </w:p>
        </w:tc>
        <w:tc>
          <w:tcPr>
            <w:tcW w:w="1529" w:type="dxa"/>
            <w:tcBorders/>
            <w:vAlign w:val="center"/>
          </w:tcPr>
          <w:p>
            <w:pPr>
              <w:pStyle w:val="TableHeading"/>
              <w:suppressLineNumbers/>
              <w:bidi w:val="0"/>
              <w:spacing w:before="0" w:after="283"/>
              <w:jc w:val="center"/>
              <w:rPr/>
            </w:pPr>
            <w:r>
              <w:rPr/>
              <w:t>Number of Shares or Other Units Outstanding</w:t>
            </w:r>
          </w:p>
        </w:tc>
        <w:tc>
          <w:tcPr>
            <w:tcW w:w="1553" w:type="dxa"/>
            <w:tcBorders/>
            <w:vAlign w:val="center"/>
          </w:tcPr>
          <w:p>
            <w:pPr>
              <w:pStyle w:val="TableHeading"/>
              <w:suppressLineNumbers/>
              <w:bidi w:val="0"/>
              <w:spacing w:before="0" w:after="283"/>
              <w:jc w:val="center"/>
              <w:rPr/>
            </w:pPr>
            <w:r>
              <w:rPr/>
              <w:t>Approximate Date of Sale</w:t>
            </w:r>
          </w:p>
        </w:tc>
        <w:tc>
          <w:tcPr>
            <w:tcW w:w="1354" w:type="dxa"/>
            <w:tcBorders/>
            <w:vAlign w:val="center"/>
          </w:tcPr>
          <w:p>
            <w:pPr>
              <w:pStyle w:val="TableHeading"/>
              <w:suppressLineNumbers/>
              <w:bidi w:val="0"/>
              <w:spacing w:before="0" w:after="283"/>
              <w:jc w:val="center"/>
              <w:rPr/>
            </w:pPr>
            <w:r>
              <w:rPr/>
              <w:t>Name the Securities Exchange</w:t>
            </w:r>
          </w:p>
        </w:tc>
      </w:tr>
      <w:tr>
        <w:trPr/>
        <w:tc>
          <w:tcPr>
            <w:tcW w:w="1520" w:type="dxa"/>
            <w:tcBorders/>
            <w:vAlign w:val="center"/>
          </w:tcPr>
          <w:p>
            <w:pPr>
              <w:pStyle w:val="TableContents"/>
              <w:bidi w:val="0"/>
              <w:spacing w:before="0" w:after="283"/>
              <w:jc w:val="left"/>
              <w:rPr/>
            </w:pPr>
            <w:r>
              <w:rPr/>
              <w:t>Class A Common Stock</w:t>
            </w:r>
          </w:p>
        </w:tc>
        <w:tc>
          <w:tcPr>
            <w:tcW w:w="1456" w:type="dxa"/>
            <w:tcBorders/>
            <w:vAlign w:val="center"/>
          </w:tcPr>
          <w:p>
            <w:pPr>
              <w:pStyle w:val="TableContents"/>
              <w:bidi w:val="0"/>
              <w:spacing w:before="0" w:after="0"/>
              <w:jc w:val="left"/>
              <w:rPr/>
            </w:pPr>
            <w:r>
              <w:rPr/>
              <w:t>Cantor Fitzgerald &amp; Co.</w:t>
              <w:br/>
              <w:t>499 Park Avenue</w:t>
              <w:br/>
              <w:t>New York   NY   10022</w:t>
            </w:r>
          </w:p>
        </w:tc>
        <w:tc>
          <w:tcPr>
            <w:tcW w:w="1243" w:type="dxa"/>
            <w:tcBorders/>
            <w:vAlign w:val="center"/>
          </w:tcPr>
          <w:p>
            <w:pPr>
              <w:pStyle w:val="TableContents"/>
              <w:bidi w:val="0"/>
              <w:spacing w:before="0" w:after="283"/>
              <w:jc w:val="left"/>
              <w:rPr/>
            </w:pPr>
            <w:r>
              <w:rPr/>
              <w:t>14183580</w:t>
            </w:r>
          </w:p>
        </w:tc>
        <w:tc>
          <w:tcPr>
            <w:tcW w:w="1550" w:type="dxa"/>
            <w:tcBorders/>
            <w:vAlign w:val="center"/>
          </w:tcPr>
          <w:p>
            <w:pPr>
              <w:pStyle w:val="TableContents"/>
              <w:bidi w:val="0"/>
              <w:spacing w:before="0" w:after="283"/>
              <w:jc w:val="left"/>
              <w:rPr/>
            </w:pPr>
            <w:r>
              <w:rPr/>
              <w:t>10751153.64</w:t>
            </w:r>
          </w:p>
        </w:tc>
        <w:tc>
          <w:tcPr>
            <w:tcW w:w="1529" w:type="dxa"/>
            <w:tcBorders/>
            <w:vAlign w:val="center"/>
          </w:tcPr>
          <w:p>
            <w:pPr>
              <w:pStyle w:val="TableContents"/>
              <w:bidi w:val="0"/>
              <w:spacing w:before="0" w:after="283"/>
              <w:jc w:val="left"/>
              <w:rPr/>
            </w:pPr>
            <w:r>
              <w:rPr/>
              <w:t>418959244</w:t>
            </w:r>
          </w:p>
        </w:tc>
        <w:tc>
          <w:tcPr>
            <w:tcW w:w="1553" w:type="dxa"/>
            <w:tcBorders/>
            <w:vAlign w:val="center"/>
          </w:tcPr>
          <w:p>
            <w:pPr>
              <w:pStyle w:val="TableContents"/>
              <w:bidi w:val="0"/>
              <w:spacing w:before="0" w:after="283"/>
              <w:jc w:val="left"/>
              <w:rPr/>
            </w:pPr>
            <w:r>
              <w:rPr/>
              <w:t>06/15/2026</w:t>
            </w:r>
          </w:p>
        </w:tc>
        <w:tc>
          <w:tcPr>
            <w:tcW w:w="1354"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63"/>
        <w:gridCol w:w="1097"/>
        <w:gridCol w:w="1550"/>
        <w:gridCol w:w="1123"/>
        <w:gridCol w:w="511"/>
        <w:gridCol w:w="1097"/>
        <w:gridCol w:w="1129"/>
        <w:gridCol w:w="1037"/>
        <w:gridCol w:w="1598"/>
      </w:tblGrid>
      <w:tr>
        <w:trPr/>
        <w:tc>
          <w:tcPr>
            <w:tcW w:w="1063" w:type="dxa"/>
            <w:tcBorders/>
            <w:vAlign w:val="center"/>
          </w:tcPr>
          <w:p>
            <w:pPr>
              <w:pStyle w:val="TableHeading"/>
              <w:suppressLineNumbers/>
              <w:bidi w:val="0"/>
              <w:spacing w:before="0" w:after="283"/>
              <w:jc w:val="center"/>
              <w:rPr/>
            </w:pPr>
            <w:r>
              <w:rPr/>
              <w:t>Title of the Class</w:t>
            </w:r>
          </w:p>
        </w:tc>
        <w:tc>
          <w:tcPr>
            <w:tcW w:w="1097" w:type="dxa"/>
            <w:tcBorders/>
            <w:vAlign w:val="center"/>
          </w:tcPr>
          <w:p>
            <w:pPr>
              <w:pStyle w:val="TableHeading"/>
              <w:suppressLineNumbers/>
              <w:bidi w:val="0"/>
              <w:spacing w:before="0" w:after="283"/>
              <w:jc w:val="center"/>
              <w:rPr/>
            </w:pPr>
            <w:r>
              <w:rPr/>
              <w:t>Date you Acquired</w:t>
            </w:r>
          </w:p>
        </w:tc>
        <w:tc>
          <w:tcPr>
            <w:tcW w:w="1550" w:type="dxa"/>
            <w:tcBorders/>
            <w:vAlign w:val="center"/>
          </w:tcPr>
          <w:p>
            <w:pPr>
              <w:pStyle w:val="TableHeading"/>
              <w:suppressLineNumbers/>
              <w:bidi w:val="0"/>
              <w:spacing w:before="0" w:after="283"/>
              <w:jc w:val="center"/>
              <w:rPr/>
            </w:pPr>
            <w:r>
              <w:rPr/>
              <w:t>Nature of Acquisition Transaction</w:t>
            </w:r>
          </w:p>
        </w:tc>
        <w:tc>
          <w:tcPr>
            <w:tcW w:w="1123" w:type="dxa"/>
            <w:tcBorders/>
            <w:vAlign w:val="center"/>
          </w:tcPr>
          <w:p>
            <w:pPr>
              <w:pStyle w:val="TableHeading"/>
              <w:suppressLineNumbers/>
              <w:bidi w:val="0"/>
              <w:spacing w:before="0" w:after="283"/>
              <w:jc w:val="center"/>
              <w:rPr/>
            </w:pPr>
            <w:r>
              <w:rPr/>
              <w:t>Name of Person from Whom Acquired</w:t>
            </w:r>
          </w:p>
        </w:tc>
        <w:tc>
          <w:tcPr>
            <w:tcW w:w="511" w:type="dxa"/>
            <w:tcBorders/>
            <w:vAlign w:val="center"/>
          </w:tcPr>
          <w:p>
            <w:pPr>
              <w:pStyle w:val="TableHeading"/>
              <w:suppressLineNumbers/>
              <w:bidi w:val="0"/>
              <w:spacing w:before="0" w:after="283"/>
              <w:jc w:val="center"/>
              <w:rPr/>
            </w:pPr>
            <w:r>
              <w:rPr/>
              <w:t>Is this a Gift?</w:t>
            </w:r>
          </w:p>
        </w:tc>
        <w:tc>
          <w:tcPr>
            <w:tcW w:w="1097" w:type="dxa"/>
            <w:tcBorders/>
            <w:vAlign w:val="center"/>
          </w:tcPr>
          <w:p>
            <w:pPr>
              <w:pStyle w:val="TableHeading"/>
              <w:suppressLineNumbers/>
              <w:bidi w:val="0"/>
              <w:spacing w:before="0" w:after="283"/>
              <w:jc w:val="center"/>
              <w:rPr/>
            </w:pPr>
            <w:r>
              <w:rPr/>
              <w:t>Date Donor Acquired</w:t>
            </w:r>
          </w:p>
        </w:tc>
        <w:tc>
          <w:tcPr>
            <w:tcW w:w="1129" w:type="dxa"/>
            <w:tcBorders/>
            <w:vAlign w:val="center"/>
          </w:tcPr>
          <w:p>
            <w:pPr>
              <w:pStyle w:val="TableHeading"/>
              <w:suppressLineNumbers/>
              <w:bidi w:val="0"/>
              <w:spacing w:before="0" w:after="283"/>
              <w:jc w:val="center"/>
              <w:rPr/>
            </w:pPr>
            <w:r>
              <w:rPr/>
              <w:t>Amount of Securities Acquired</w:t>
            </w:r>
          </w:p>
        </w:tc>
        <w:tc>
          <w:tcPr>
            <w:tcW w:w="1037" w:type="dxa"/>
            <w:tcBorders/>
            <w:vAlign w:val="center"/>
          </w:tcPr>
          <w:p>
            <w:pPr>
              <w:pStyle w:val="TableHeading"/>
              <w:suppressLineNumbers/>
              <w:bidi w:val="0"/>
              <w:spacing w:before="0" w:after="283"/>
              <w:jc w:val="center"/>
              <w:rPr/>
            </w:pPr>
            <w:r>
              <w:rPr/>
              <w:t>Date of Payment</w:t>
            </w:r>
          </w:p>
        </w:tc>
        <w:tc>
          <w:tcPr>
            <w:tcW w:w="159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63" w:type="dxa"/>
            <w:tcBorders/>
            <w:vAlign w:val="center"/>
          </w:tcPr>
          <w:p>
            <w:pPr>
              <w:pStyle w:val="TableContents"/>
              <w:bidi w:val="0"/>
              <w:spacing w:before="0" w:after="283"/>
              <w:jc w:val="left"/>
              <w:rPr/>
            </w:pPr>
            <w:r>
              <w:rPr/>
              <w:t>Class A Common Stock</w:t>
            </w:r>
          </w:p>
        </w:tc>
        <w:tc>
          <w:tcPr>
            <w:tcW w:w="1097" w:type="dxa"/>
            <w:tcBorders/>
            <w:vAlign w:val="center"/>
          </w:tcPr>
          <w:p>
            <w:pPr>
              <w:pStyle w:val="TableContents"/>
              <w:bidi w:val="0"/>
              <w:spacing w:before="0" w:after="283"/>
              <w:jc w:val="left"/>
              <w:rPr/>
            </w:pPr>
            <w:r>
              <w:rPr/>
              <w:t>07/22/2022</w:t>
            </w:r>
          </w:p>
        </w:tc>
        <w:tc>
          <w:tcPr>
            <w:tcW w:w="1550" w:type="dxa"/>
            <w:tcBorders/>
            <w:vAlign w:val="center"/>
          </w:tcPr>
          <w:p>
            <w:pPr>
              <w:pStyle w:val="TableContents"/>
              <w:bidi w:val="0"/>
              <w:spacing w:before="0" w:after="283"/>
              <w:jc w:val="left"/>
              <w:rPr/>
            </w:pPr>
            <w:r>
              <w:rPr/>
              <w:t>Shares purchased as consideration in the consummation of the business combination with CC Neuberger Principal Holdings II</w:t>
            </w:r>
          </w:p>
        </w:tc>
        <w:tc>
          <w:tcPr>
            <w:tcW w:w="1123" w:type="dxa"/>
            <w:tcBorders/>
            <w:vAlign w:val="center"/>
          </w:tcPr>
          <w:p>
            <w:pPr>
              <w:pStyle w:val="TableContents"/>
              <w:bidi w:val="0"/>
              <w:spacing w:before="0" w:after="283"/>
              <w:jc w:val="left"/>
              <w:rPr/>
            </w:pPr>
            <w:r>
              <w:rPr/>
              <w:t>Getty Images Holdings, Inc.</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7"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pPr>
            <w:r>
              <w:rPr/>
              <w:t>9282232</w:t>
            </w:r>
          </w:p>
        </w:tc>
        <w:tc>
          <w:tcPr>
            <w:tcW w:w="1037" w:type="dxa"/>
            <w:tcBorders/>
            <w:vAlign w:val="center"/>
          </w:tcPr>
          <w:p>
            <w:pPr>
              <w:pStyle w:val="TableContents"/>
              <w:bidi w:val="0"/>
              <w:spacing w:before="0" w:after="283"/>
              <w:jc w:val="left"/>
              <w:rPr/>
            </w:pPr>
            <w:r>
              <w:rPr/>
              <w:t>07/22/2022</w:t>
            </w:r>
          </w:p>
        </w:tc>
        <w:tc>
          <w:tcPr>
            <w:tcW w:w="1598" w:type="dxa"/>
            <w:tcBorders/>
            <w:vAlign w:val="center"/>
          </w:tcPr>
          <w:p>
            <w:pPr>
              <w:pStyle w:val="TableContents"/>
              <w:bidi w:val="0"/>
              <w:spacing w:before="0" w:after="283"/>
              <w:jc w:val="left"/>
              <w:rPr/>
            </w:pPr>
            <w:r>
              <w:rPr/>
              <w:t>Merger consideration</w:t>
            </w:r>
          </w:p>
        </w:tc>
      </w:tr>
      <w:tr>
        <w:trPr/>
        <w:tc>
          <w:tcPr>
            <w:tcW w:w="1063" w:type="dxa"/>
            <w:tcBorders/>
            <w:vAlign w:val="center"/>
          </w:tcPr>
          <w:p>
            <w:pPr>
              <w:pStyle w:val="TableContents"/>
              <w:bidi w:val="0"/>
              <w:spacing w:before="0" w:after="283"/>
              <w:jc w:val="left"/>
              <w:rPr/>
            </w:pPr>
            <w:r>
              <w:rPr/>
              <w:t>Class A Common Stock</w:t>
            </w:r>
          </w:p>
        </w:tc>
        <w:tc>
          <w:tcPr>
            <w:tcW w:w="1097" w:type="dxa"/>
            <w:tcBorders/>
            <w:vAlign w:val="center"/>
          </w:tcPr>
          <w:p>
            <w:pPr>
              <w:pStyle w:val="TableContents"/>
              <w:bidi w:val="0"/>
              <w:spacing w:before="0" w:after="283"/>
              <w:jc w:val="left"/>
              <w:rPr/>
            </w:pPr>
            <w:r>
              <w:rPr/>
              <w:t>08/29/2022</w:t>
            </w:r>
          </w:p>
        </w:tc>
        <w:tc>
          <w:tcPr>
            <w:tcW w:w="1550" w:type="dxa"/>
            <w:tcBorders/>
            <w:vAlign w:val="center"/>
          </w:tcPr>
          <w:p>
            <w:pPr>
              <w:pStyle w:val="TableContents"/>
              <w:bidi w:val="0"/>
              <w:spacing w:before="0" w:after="283"/>
              <w:jc w:val="left"/>
              <w:rPr/>
            </w:pPr>
            <w:r>
              <w:rPr/>
              <w:t>Shares acquired upon exercise of warrants of Getty Images Holdings, Inc.</w:t>
            </w:r>
          </w:p>
        </w:tc>
        <w:tc>
          <w:tcPr>
            <w:tcW w:w="1123" w:type="dxa"/>
            <w:tcBorders/>
            <w:vAlign w:val="center"/>
          </w:tcPr>
          <w:p>
            <w:pPr>
              <w:pStyle w:val="TableContents"/>
              <w:bidi w:val="0"/>
              <w:spacing w:before="0" w:after="283"/>
              <w:jc w:val="left"/>
              <w:rPr/>
            </w:pPr>
            <w:r>
              <w:rPr/>
              <w:t>Getty Images Holdings, Inc.</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97"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pPr>
            <w:r>
              <w:rPr/>
              <w:t>5777998</w:t>
            </w:r>
          </w:p>
        </w:tc>
        <w:tc>
          <w:tcPr>
            <w:tcW w:w="1037" w:type="dxa"/>
            <w:tcBorders/>
            <w:vAlign w:val="center"/>
          </w:tcPr>
          <w:p>
            <w:pPr>
              <w:pStyle w:val="TableContents"/>
              <w:bidi w:val="0"/>
              <w:spacing w:before="0" w:after="283"/>
              <w:jc w:val="left"/>
              <w:rPr/>
            </w:pPr>
            <w:r>
              <w:rPr/>
              <w:t>08/29/2022</w:t>
            </w:r>
          </w:p>
        </w:tc>
        <w:tc>
          <w:tcPr>
            <w:tcW w:w="1598" w:type="dxa"/>
            <w:tcBorders/>
            <w:vAlign w:val="center"/>
          </w:tcPr>
          <w:p>
            <w:pPr>
              <w:pStyle w:val="TableContents"/>
              <w:bidi w:val="0"/>
              <w:spacing w:before="0" w:after="283"/>
              <w:jc w:val="left"/>
              <w:rPr/>
            </w:pPr>
            <w:r>
              <w:rPr/>
              <w:t>Exercise of 9,280,000 warrants of Getty Images Holdings, Inc. initially acquired in the consummation of the business combination with CC Neuberger Principal Holdings II, exercised on a cashless basis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302"/>
        <w:gridCol w:w="7903"/>
      </w:tblGrid>
      <w:tr>
        <w:trPr/>
        <w:tc>
          <w:tcPr>
            <w:tcW w:w="2302" w:type="dxa"/>
            <w:tcBorders/>
            <w:vAlign w:val="center"/>
          </w:tcPr>
          <w:p>
            <w:pPr>
              <w:pStyle w:val="TableContents"/>
              <w:bidi w:val="0"/>
              <w:spacing w:before="0" w:after="283"/>
              <w:jc w:val="left"/>
              <w:rPr/>
            </w:pPr>
            <w:r>
              <w:rPr/>
              <w:t>Remarks</w:t>
            </w:r>
          </w:p>
        </w:tc>
        <w:tc>
          <w:tcPr>
            <w:tcW w:w="7903" w:type="dxa"/>
            <w:tcBorders/>
            <w:vAlign w:val="center"/>
          </w:tcPr>
          <w:p>
            <w:pPr>
              <w:pStyle w:val="TableContents"/>
              <w:bidi w:val="0"/>
              <w:spacing w:before="0" w:after="0"/>
              <w:jc w:val="left"/>
              <w:rPr/>
            </w:pPr>
            <w:r>
              <w:rPr/>
              <w:t>(1) Interests subject to the 10b5-1 plan shown consist of (i) 5,353,560 shares of Class A Common Stock directly held by CC NB Sponsor 2 Holdings LLC and (ii) 9,706,670 shares of Class A Common Stock directly held by CC Capital SP, LP. Chinh Chu controls the investment decisions and voting powers of CC Capital SP, LP, which wholly owns CC NB Sponsor 2 Holdings LLC.</w:t>
            </w:r>
          </w:p>
        </w:tc>
      </w:tr>
      <w:tr>
        <w:trPr/>
        <w:tc>
          <w:tcPr>
            <w:tcW w:w="2302" w:type="dxa"/>
            <w:tcBorders/>
            <w:vAlign w:val="center"/>
          </w:tcPr>
          <w:p>
            <w:pPr>
              <w:pStyle w:val="TableContents"/>
              <w:bidi w:val="0"/>
              <w:spacing w:before="0" w:after="283"/>
              <w:jc w:val="left"/>
              <w:rPr/>
            </w:pPr>
            <w:r>
              <w:rPr/>
              <w:t>Date of Notice</w:t>
            </w:r>
          </w:p>
        </w:tc>
        <w:tc>
          <w:tcPr>
            <w:tcW w:w="7903" w:type="dxa"/>
            <w:tcBorders/>
            <w:vAlign w:val="center"/>
          </w:tcPr>
          <w:p>
            <w:pPr>
              <w:pStyle w:val="TableContents"/>
              <w:bidi w:val="0"/>
              <w:spacing w:before="0" w:after="0"/>
              <w:jc w:val="left"/>
              <w:rPr/>
            </w:pPr>
            <w:r>
              <w:rPr/>
              <w:t>06/12/2026</w:t>
            </w:r>
          </w:p>
        </w:tc>
      </w:tr>
      <w:tr>
        <w:trPr/>
        <w:tc>
          <w:tcPr>
            <w:tcW w:w="2302" w:type="dxa"/>
            <w:tcBorders/>
            <w:vAlign w:val="center"/>
          </w:tcPr>
          <w:p>
            <w:pPr>
              <w:pStyle w:val="TableContents"/>
              <w:bidi w:val="0"/>
              <w:spacing w:before="0" w:after="283"/>
              <w:jc w:val="left"/>
              <w:rPr/>
            </w:pPr>
            <w:r>
              <w:rPr/>
              <w:t>Date of Plan Adoption or Giving of Instruction, If Relying on Rule 10b5-1</w:t>
            </w:r>
          </w:p>
        </w:tc>
        <w:tc>
          <w:tcPr>
            <w:tcW w:w="7903" w:type="dxa"/>
            <w:tcBorders/>
            <w:vAlign w:val="center"/>
          </w:tcPr>
          <w:p>
            <w:pPr>
              <w:pStyle w:val="TableContents"/>
              <w:bidi w:val="0"/>
              <w:spacing w:before="0" w:after="0"/>
              <w:jc w:val="left"/>
              <w:rPr/>
            </w:pPr>
            <w:r>
              <w:rPr/>
              <w:t>08/15/2025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302" w:type="dxa"/>
            <w:tcBorders/>
            <w:vAlign w:val="center"/>
          </w:tcPr>
          <w:p>
            <w:pPr>
              <w:pStyle w:val="TableContents"/>
              <w:bidi w:val="0"/>
              <w:spacing w:before="0" w:after="283"/>
              <w:jc w:val="left"/>
              <w:rPr/>
            </w:pPr>
            <w:r>
              <w:rPr/>
              <w:t>Signature</w:t>
            </w:r>
          </w:p>
        </w:tc>
        <w:tc>
          <w:tcPr>
            <w:tcW w:w="7903" w:type="dxa"/>
            <w:tcBorders/>
            <w:vAlign w:val="center"/>
          </w:tcPr>
          <w:p>
            <w:pPr>
              <w:pStyle w:val="TableContents"/>
              <w:bidi w:val="0"/>
              <w:spacing w:before="0" w:after="0"/>
              <w:jc w:val="left"/>
              <w:rPr/>
            </w:pPr>
            <w:r>
              <w:rPr/>
              <w:t>/s/ Thomas Boychuk, as attorney-in-fact for Chinh Chu</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733</Words>
  <Characters>3722</Characters>
  <CharactersWithSpaces>4391</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