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Mikael Cho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Senior Vice President</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03/20/2025</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29,153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142,452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14,576</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w:t>
            </w:r>
          </w:p>
        </w:tc>
        <w:tc>
          <w:tcPr>
            <w:tcW w:w="300" w:type="dxa"/>
            <w:vAlign w:val="bottom"/>
          </w:tcPr>
          <w:p>
            <w:pPr>
              <w:spacing w:after="0"/>
              <w:rPr>
                <w:sz w:val="21"/>
                <w:szCs w:val="21"/>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115,151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condition for a portion of a performance restricted stock unit award ("PSU") previously granted to the Reporting Person was satisfied and vested on March 20, 2025. Each vested PSU will be settled for one share of Class A Common Stock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Mikael Cho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3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36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279"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2025-03-24T15:57:04Z</dcterms:created>
  <dcterms:modified xsi:type="dcterms:W3CDTF">2025-03-24T15:57:04Z</dcterms:modified>
</cp:coreProperties>
</file>