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14a-101)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REQUIRED IN PROXY STATEMENT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(Amendment No.    )</w:t>
      </w:r>
    </w:p>
    <w:p>
      <w:pPr>
        <w:pStyle w:val="TextBody"/>
        <w:bidi w:val="0"/>
        <w:spacing w:lineRule="auto" w:line="288" w:before="160" w:after="283"/>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160" w:after="283"/>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center"/>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before="100" w:after="283"/>
        <w:jc w:val="center"/>
        <w:rPr/>
      </w:pPr>
      <w:r>
        <w:rPr/>
        <w:drawing>
          <wp:inline distT="0" distB="0" distL="0" distR="0">
            <wp:extent cx="21431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352425"/>
                    </a:xfrm>
                    <a:prstGeom prst="rect">
                      <a:avLst/>
                    </a:prstGeom>
                  </pic:spPr>
                </pic:pic>
              </a:graphicData>
            </a:graphic>
          </wp:inline>
        </w:drawing>
      </w:r>
      <w:bookmarkStart w:id="0" w:name="i-1"/>
      <w:bookmarkEnd w:id="0"/>
    </w:p>
    <w:tbl>
      <w:tblPr>
        <w:tblW w:w="3584" w:type="dxa"/>
        <w:jc w:val="left"/>
        <w:tblInd w:w="0" w:type="dxa"/>
        <w:tblLayout w:type="fixed"/>
        <w:tblCellMar>
          <w:top w:w="28" w:type="dxa"/>
          <w:left w:w="28" w:type="dxa"/>
          <w:bottom w:w="28" w:type="dxa"/>
          <w:right w:w="28" w:type="dxa"/>
        </w:tblCellMar>
      </w:tblPr>
      <w:tblGrid>
        <w:gridCol w:w="1146"/>
        <w:gridCol w:w="1008"/>
        <w:gridCol w:w="1430"/>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Getty Images Holdings, Inc.</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of Person(s) Filing Proxy Statement, if Other Than the Registrant)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666" w:type="dxa"/>
        <w:jc w:val="center"/>
        <w:tblInd w:w="0" w:type="dxa"/>
        <w:tblLayout w:type="fixed"/>
        <w:tblCellMar>
          <w:top w:w="28" w:type="dxa"/>
          <w:left w:w="28" w:type="dxa"/>
          <w:bottom w:w="28" w:type="dxa"/>
          <w:right w:w="28" w:type="dxa"/>
        </w:tblCellMar>
      </w:tblPr>
      <w:tblGrid>
        <w:gridCol w:w="124"/>
        <w:gridCol w:w="109"/>
        <w:gridCol w:w="109"/>
        <w:gridCol w:w="2436"/>
        <w:gridCol w:w="2436"/>
        <w:gridCol w:w="34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computer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240" w:after="283"/>
        <w:jc w:val="center"/>
        <w:rPr/>
      </w:pPr>
      <w:r>
        <w:rPr/>
        <w:drawing>
          <wp:inline distT="0" distB="0" distL="0" distR="0">
            <wp:extent cx="2667000" cy="4762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667000" cy="476250"/>
                    </a:xfrm>
                    <a:prstGeom prst="rect">
                      <a:avLst/>
                    </a:prstGeom>
                  </pic:spPr>
                </pic:pic>
              </a:graphicData>
            </a:graphic>
          </wp:inline>
        </w:drawing>
      </w:r>
      <w:bookmarkStart w:id="1" w:name="i-2"/>
      <w:bookmarkEnd w:id="1"/>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605 5th Avenue 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Letter to Stockholders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August 28,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You are cordially invited to attend the 2026 Annual Meeting of Stockholders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of Getty Images Holdings, Inc. to be held on Thursday, October 8, 2026 at 10:30 a.m., Eastern Time. We have adopted a virtual format for our 2026 Annual Meeting to provide a consistent experience to all stockholders regardless of location.</w:t>
      </w:r>
    </w:p>
    <w:p>
      <w:pPr>
        <w:pStyle w:val="TextBody"/>
        <w:bidi w:val="0"/>
        <w:spacing w:lineRule="auto" w:line="268" w:before="160" w:after="283"/>
        <w:ind w:left="0" w:right="0" w:firstLine="450"/>
        <w:jc w:val="both"/>
        <w:rPr/>
      </w:pPr>
      <w:r>
        <w:rPr>
          <w:rFonts w:ascii="Times New Roman;serif" w:hAnsi="Times New Roman;serif"/>
          <w:b w:val="false"/>
          <w:color w:val="000000"/>
          <w:sz w:val="20"/>
        </w:rPr>
        <w:t>Our stockholders (or their proxy holders) as of the close of business on the record date, August 17,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xml:space="preserve">), can participate in and vote at our 2026 Annual Meeting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and entering the 11-digit control number included in your Notice of Internet Availability of Proxy Materials (the “</w:t>
      </w:r>
      <w:r>
        <w:rPr>
          <w:rFonts w:ascii="Times New Roman;serif" w:hAnsi="Times New Roman;serif"/>
          <w:b w:val="false"/>
          <w:color w:val="000000"/>
          <w:sz w:val="20"/>
          <w:u w:val="single"/>
        </w:rPr>
        <w:t>Internet Notice</w:t>
      </w:r>
      <w:r>
        <w:rPr>
          <w:color w:val="000000"/>
        </w:rPr>
        <w:t>”</w:t>
      </w:r>
      <w:r>
        <w:rPr>
          <w:rFonts w:ascii="Times New Roman;serif" w:hAnsi="Times New Roman;serif"/>
          <w:b w:val="false"/>
          <w:color w:val="000000"/>
          <w:sz w:val="20"/>
        </w:rPr>
        <w:t xml:space="preserve">), voting instruction form or proxy card. All others may view the 2026 Annual Meeting through our Investor Relations website at </w:t>
      </w:r>
      <w:r>
        <w:rPr>
          <w:rFonts w:ascii="Times New Roman;serif" w:hAnsi="Times New Roman;serif"/>
          <w:b w:val="false"/>
          <w:i/>
          <w:color w:val="000000"/>
          <w:sz w:val="20"/>
        </w:rPr>
        <w:t>investors.gettyimages.com</w:t>
      </w:r>
      <w:r>
        <w:rPr>
          <w:rFonts w:ascii="Times New Roman;serif" w:hAnsi="Times New Roman;serif"/>
          <w:b w:val="false"/>
          <w:color w:val="000000"/>
          <w:sz w:val="20"/>
        </w:rPr>
        <w: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Further details regarding participation in the 2026 Annual Meeting and the business to be conducted are described in the Internet Notice and this proxy statement. We have also made available a copy of our 2025 Annual Report to Stockholders (“</w:t>
      </w:r>
      <w:r>
        <w:rPr>
          <w:rFonts w:ascii="Times New Roman;serif" w:hAnsi="Times New Roman;serif"/>
          <w:b w:val="false"/>
          <w:color w:val="000000"/>
          <w:sz w:val="20"/>
          <w:u w:val="single"/>
        </w:rPr>
        <w:t>Annual Report</w:t>
      </w:r>
      <w:r>
        <w:rPr>
          <w:color w:val="000000"/>
        </w:rPr>
        <w:t>”</w:t>
      </w:r>
      <w:r>
        <w:rPr>
          <w:rFonts w:ascii="Times New Roman;serif" w:hAnsi="Times New Roman;serif"/>
          <w:b w:val="false"/>
          <w:color w:val="000000"/>
          <w:sz w:val="20"/>
        </w:rPr>
        <w:t>) with this proxy statement. We encourage you to read our Annual Report. It includes our audited financial statements and provides information about our business.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elected to provide access to our proxy materials over the Internet under the U.S. Securities and Exchange Commission’s “notice and access” rules. If you want more information, please see the Questions and Answers section of this proxy statement or visit the 2026 Annual Meeting section of our Investor Relations website at </w:t>
      </w:r>
      <w:r>
        <w:rPr>
          <w:rFonts w:ascii="Times New Roman;serif" w:hAnsi="Times New Roman;serif"/>
          <w:b w:val="false"/>
          <w:i/>
          <w:color w:val="000000"/>
          <w:sz w:val="20"/>
        </w:rPr>
        <w:t>investors.gettyimages.com</w:t>
      </w:r>
      <w:r>
        <w:rPr>
          <w:rFonts w:ascii="Times New Roman;serif" w:hAnsi="Times New Roman;serif"/>
          <w:b w:val="false"/>
          <w:color w:val="000000"/>
          <w:sz w:val="20"/>
        </w:rPr>
        <w: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Your vote is important. Whether or not you plan to participate in the 2026 Annual Meeting, we hope you will vote as soon as possible. You may vote over the Internet, as well as by telephone, or, if you requested to receive printed proxy materials, by mailing a proxy or voting instruction form. Please review the instructions on each of your voting options described in this proxy statement, as well as in the Internet Notice you received in the mail.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Thank you for your support.</w:t>
      </w:r>
    </w:p>
    <w:tbl>
      <w:tblPr>
        <w:tblW w:w="4527" w:type="dxa"/>
        <w:jc w:val="left"/>
        <w:tblInd w:w="0" w:type="dxa"/>
        <w:tblLayout w:type="fixed"/>
        <w:tblCellMar>
          <w:top w:w="28" w:type="dxa"/>
          <w:left w:w="28" w:type="dxa"/>
          <w:bottom w:w="28" w:type="dxa"/>
          <w:right w:w="28" w:type="dxa"/>
        </w:tblCellMar>
      </w:tblPr>
      <w:tblGrid>
        <w:gridCol w:w="124"/>
        <w:gridCol w:w="109"/>
        <w:gridCol w:w="109"/>
        <w:gridCol w:w="1224"/>
        <w:gridCol w:w="1224"/>
        <w:gridCol w:w="1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66875" cy="3143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666875" cy="314325"/>
                          </a:xfrm>
                          <a:prstGeom prst="rect">
                            <a:avLst/>
                          </a:prstGeom>
                        </pic:spPr>
                      </pic:pic>
                    </a:graphicData>
                  </a:graphic>
                </wp:inline>
              </w:drawing>
            </w:r>
            <w:bookmarkStart w:id="2" w:name="i-3"/>
            <w:bookmarkEnd w:id="2"/>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Craig Peters, Chief Executive Officer and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120" w:after="283"/>
        <w:jc w:val="center"/>
        <w:rPr/>
      </w:pPr>
      <w:r>
        <w:rPr/>
        <w:drawing>
          <wp:inline distT="0" distB="0" distL="0" distR="0">
            <wp:extent cx="2667000" cy="4762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667000" cy="476250"/>
                    </a:xfrm>
                    <a:prstGeom prst="rect">
                      <a:avLst/>
                    </a:prstGeom>
                  </pic:spPr>
                </pic:pic>
              </a:graphicData>
            </a:graphic>
          </wp:inline>
        </w:drawing>
      </w:r>
      <w:bookmarkStart w:id="3" w:name="i-4"/>
      <w:bookmarkEnd w:id="3"/>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605 5th Avenue 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Notice of Annual Meeting of Stockholders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To Be Held Thursday, October 8, 2026</w:t>
      </w:r>
    </w:p>
    <w:p>
      <w:pPr>
        <w:pStyle w:val="TextBody"/>
        <w:bidi w:val="0"/>
        <w:spacing w:before="0" w:after="0"/>
        <w:jc w:val="center"/>
        <w:rPr/>
      </w:pPr>
      <w:r>
        <w:rPr/>
      </w:r>
    </w:p>
    <w:p>
      <w:pPr>
        <w:pStyle w:val="TextBody"/>
        <w:bidi w:val="0"/>
        <w:spacing w:lineRule="auto" w:line="288" w:before="200" w:after="283"/>
        <w:ind w:left="0" w:right="0" w:firstLine="450"/>
        <w:jc w:val="both"/>
        <w:rPr/>
      </w:pPr>
      <w:r>
        <w:rPr>
          <w:rFonts w:ascii="Times New Roman;serif" w:hAnsi="Times New Roman;serif"/>
          <w:b w:val="false"/>
          <w:color w:val="000000"/>
          <w:sz w:val="20"/>
        </w:rPr>
        <w:t>The Annual Meeting of Stockholders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of Getty Images Holdings,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will be held virtually on Thursday, October 8, 2026 at 10:30 a.m., Eastern Time. You will be able to attend the 2026 Annual Meeting online and submit your questions during the meeting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and entering your 11-digit control number included on your Notice of Internet Availability of Proxy Materials, on your proxy card or on the instructions that accompanied your proxy materials. The 2026 Annual Meeting will be held for the following purposes: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elect Patrick Maxwell, Jeffrey Titterton and Thomas Walper as Class I Directors to serve until the 2029 Annual Meeting of Stockholders, and until their respective successors are duly elected and qualified;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To ratify the appointment of Ernst &amp; Young LLP as our independent registered public accounting firm for the fiscal year ending December 31, 2026; </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To approve an amendment to our amended and restated certificate of incorporation to effect a reverse stock split of our outstanding shares of Class A common stock, par value $0.0001 per share, at a ratio, ranging from 1-for-5 to 1</w:t>
      </w:r>
      <w:r>
        <w:rPr>
          <w:color w:val="000000"/>
        </w:rPr>
        <w:noBreakHyphen/>
      </w:r>
      <w:r>
        <w:rPr>
          <w:rFonts w:ascii="Times New Roman;serif" w:hAnsi="Times New Roman;serif"/>
          <w:b w:val="false"/>
          <w:color w:val="000000"/>
          <w:sz w:val="20"/>
        </w:rPr>
        <w:t>for-20;</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the Getty Images Holdings, Inc. 2022 Equity Incentive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the Getty Images Holdings, Inc. 2022 Employee Stock Purchase Plan;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transact such other business as may properly come before the 2026 Annual Meeting and any adjournment or postponement thereof.</w:t>
      </w:r>
    </w:p>
    <w:p>
      <w:pPr>
        <w:pStyle w:val="TextBody"/>
        <w:bidi w:val="0"/>
        <w:spacing w:lineRule="auto" w:line="288" w:before="160" w:after="283"/>
        <w:ind w:left="0" w:right="0" w:firstLine="450"/>
        <w:jc w:val="both"/>
        <w:rPr/>
      </w:pPr>
      <w:r>
        <w:rPr>
          <w:rFonts w:ascii="Times New Roman;serif" w:hAnsi="Times New Roman;serif"/>
          <w:b w:val="false"/>
          <w:color w:val="000000"/>
          <w:sz w:val="20"/>
        </w:rPr>
        <w:t>Our Board of Directors has set the close of business on August 17, 2026 as the record date for determining stockholders who are entitled to notice of and to vote at the 2026 Annual Meeting, and any adjournment or postponement thereof. This proxy statement, together with the accompanying 2025 Annual Report to Stockholders (“</w:t>
      </w:r>
      <w:r>
        <w:rPr>
          <w:rFonts w:ascii="Times New Roman;serif" w:hAnsi="Times New Roman;serif"/>
          <w:b w:val="false"/>
          <w:color w:val="000000"/>
          <w:sz w:val="20"/>
          <w:u w:val="single"/>
        </w:rPr>
        <w:t>Annual Report</w:t>
      </w:r>
      <w:r>
        <w:rPr>
          <w:color w:val="000000"/>
        </w:rPr>
        <w:t>”</w:t>
      </w:r>
      <w:r>
        <w:rPr>
          <w:rFonts w:ascii="Times New Roman;serif" w:hAnsi="Times New Roman;serif"/>
          <w:b w:val="false"/>
          <w:color w:val="000000"/>
          <w:sz w:val="20"/>
        </w:rPr>
        <w:t>) and a proxy card or voting instruction form, are first being distributed or made available to stockholders on or about August 28, 2026.</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To provide convenient access and promote attendance and participation, we will hold our 2026 Annual Meeting virtually. Stockholders may attend the 2026 Annual Meeting by logging in at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The meeting will begin promptly at 10:30 a.m., Eastern Time. Online check-in will begin at</w:t>
      </w:r>
      <w:r>
        <w:rPr>
          <w:color w:val="000000"/>
          <w:shd w:fill="FFFFFF" w:val="clear"/>
        </w:rPr>
        <w:t xml:space="preserve"> </w:t>
      </w:r>
      <w:r>
        <w:rPr>
          <w:rFonts w:ascii="Times New Roman;serif" w:hAnsi="Times New Roman;serif"/>
          <w:b w:val="false"/>
          <w:color w:val="000000"/>
          <w:sz w:val="20"/>
          <w:shd w:fill="FFFFFF" w:val="clear"/>
        </w:rPr>
        <w:t>9:30 a.m., East</w:t>
      </w:r>
      <w:r>
        <w:rPr>
          <w:rFonts w:ascii="Times New Roman;serif" w:hAnsi="Times New Roman;serif"/>
          <w:b w:val="false"/>
          <w:color w:val="000000"/>
          <w:sz w:val="20"/>
        </w:rPr>
        <w:t>ern Time, and you should allow for time to complete the online check-in procedure.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Stockholders who received this Notice, proxy materials and the Annual Report by email and would like to receive a paper copy of our proxy materials and Annual Report, free of charge, may: call 888-Proxy-NA (888-776-9962) or 201-299-6210 (for international callers), write to helpAST@equiniti.com, or visit </w:t>
      </w:r>
      <w:r>
        <w:rPr>
          <w:rFonts w:ascii="Times New Roman;serif" w:hAnsi="Times New Roman;serif"/>
          <w:b w:val="false"/>
          <w:i/>
          <w:color w:val="000000"/>
          <w:sz w:val="20"/>
        </w:rPr>
        <w:t>https://us.astfinancial.com/OnlineProxyVoting/ProxyVoting/RequestMaterial</w:t>
      </w:r>
      <w:r>
        <w:rPr>
          <w:rFonts w:ascii="Times New Roman;serif" w:hAnsi="Times New Roman;serif"/>
          <w:b w:val="false"/>
          <w:color w:val="000000"/>
          <w:sz w:val="20"/>
        </w:rPr>
        <w:t>s. Please see “</w:t>
      </w:r>
      <w:r>
        <w:rPr>
          <w:rFonts w:ascii="Times New Roman;serif" w:hAnsi="Times New Roman;serif"/>
          <w:b w:val="false"/>
          <w:i/>
          <w:color w:val="000000"/>
          <w:sz w:val="20"/>
        </w:rPr>
        <w:t>Questions and Answers about the 2026 Annual Meeting of Stockholders”</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 xml:space="preserve">page </w:t>
      </w:r>
      <w:hyperlink w:anchor="iaf0534c76274411dbfba052751af5a3a_25">
        <w:r>
          <w:rPr>
            <w:rStyle w:val="InternetLink"/>
            <w:rFonts w:ascii="Times New Roman;serif" w:hAnsi="Times New Roman;serif"/>
            <w:b w:val="false"/>
            <w:strike w:val="false"/>
            <w:dstrike w:val="false"/>
            <w:color w:val="0000FF"/>
            <w:sz w:val="20"/>
            <w:u w:val="none"/>
            <w:effect w:val="none"/>
          </w:rPr>
          <w:t>5</w:t>
        </w:r>
      </w:hyperlink>
      <w:r>
        <w:rPr>
          <w:color w:val="000000"/>
        </w:rPr>
        <w:t xml:space="preserve"> </w:t>
      </w:r>
      <w:r>
        <w:rPr>
          <w:rFonts w:ascii="Times New Roman;serif" w:hAnsi="Times New Roman;serif"/>
          <w:b w:val="false"/>
          <w:color w:val="000000"/>
          <w:sz w:val="20"/>
        </w:rPr>
        <w:t xml:space="preserve">of the proxy statement for additional information regarding participation in the 2026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pPr>
      <w:r>
        <w:rPr>
          <w:rFonts w:ascii="Times New Roman;serif" w:hAnsi="Times New Roman;serif"/>
          <w:b/>
          <w:color w:val="000000"/>
          <w:sz w:val="20"/>
        </w:rPr>
        <w:t>Your vote is very important to us</w:t>
      </w:r>
      <w:r>
        <w:rPr>
          <w:rFonts w:ascii="Times New Roman;serif" w:hAnsi="Times New Roman;serif"/>
          <w:b w:val="false"/>
          <w:color w:val="000000"/>
          <w:sz w:val="20"/>
        </w:rPr>
        <w:t>. You can ensure your shares are represented at the 2026 Annual Meeting if you are a stockholder of record by promptly voting electronically over the Internet or, if you requested to receive paper copies of these materials by mail, by returning your completed proxy card in the pre-addressed, postage-paid return envelope, or, if your shares are held in street name, by returning your completed voting instruction card to your broker. If, for any reason, you desire to revoke or change your proxy, you may do so at any time before it is exercised. The proxy is solicited by our Board of Directors.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By Order of the Board of Directors</w:t>
      </w:r>
    </w:p>
    <w:p>
      <w:pPr>
        <w:pStyle w:val="TextBody"/>
        <w:bidi w:val="0"/>
        <w:spacing w:before="160" w:after="283"/>
        <w:jc w:val="left"/>
        <w:rPr/>
      </w:pPr>
      <w:r>
        <w:rPr/>
        <w:drawing>
          <wp:inline distT="0" distB="0" distL="0" distR="0">
            <wp:extent cx="914400" cy="3524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4400" cy="352425"/>
                    </a:xfrm>
                    <a:prstGeom prst="rect">
                      <a:avLst/>
                    </a:prstGeom>
                  </pic:spPr>
                </pic:pic>
              </a:graphicData>
            </a:graphic>
          </wp:inline>
        </w:drawing>
      </w:r>
      <w:bookmarkStart w:id="4" w:name="i-5"/>
      <w:bookmarkEnd w:id="4"/>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04"/>
        <w:gridCol w:w="3080"/>
        <w:gridCol w:w="3109"/>
        <w:gridCol w:w="149"/>
        <w:gridCol w:w="149"/>
        <w:gridCol w:w="214"/>
      </w:tblGrid>
      <w:tr>
        <w:trPr/>
        <w:tc>
          <w:tcPr>
            <w:tcW w:w="3504"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16">
              <w:r>
                <w:rPr>
                  <w:rStyle w:val="InternetLink"/>
                  <w:rFonts w:ascii="Times New Roman;serif" w:hAnsi="Times New Roman;serif"/>
                  <w:b w:val="false"/>
                  <w:color w:val="0000FF"/>
                  <w:sz w:val="20"/>
                  <w:u w:val="single"/>
                </w:rPr>
                <w:t>Proxy Statement</w:t>
              </w:r>
            </w:hyperlink>
          </w:p>
        </w:tc>
        <w:tc>
          <w:tcPr>
            <w:tcW w:w="5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pPr>
            <w:hyperlink w:anchor="iaf0534c76274411dbfba052751af5a3a_16">
              <w:r>
                <w:rPr>
                  <w:rStyle w:val="InternetLink"/>
                  <w:rFonts w:ascii="Times New Roman;serif" w:hAnsi="Times New Roman;serif"/>
                  <w:b w:val="false"/>
                  <w:color w:val="0000FF"/>
                  <w:sz w:val="20"/>
                  <w:u w:val="single"/>
                </w:rPr>
                <w:t>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19">
              <w:r>
                <w:rPr>
                  <w:rStyle w:val="InternetLink"/>
                  <w:rFonts w:ascii="Times New Roman;serif" w:hAnsi="Times New Roman;serif"/>
                  <w:b w:val="false"/>
                  <w:color w:val="0000FF"/>
                  <w:sz w:val="20"/>
                  <w:u w:val="single"/>
                </w:rPr>
                <w:t>Note about Forward-Looking Statements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19">
              <w:r>
                <w:rPr>
                  <w:rStyle w:val="InternetLink"/>
                  <w:rFonts w:ascii="Times New Roman;serif" w:hAnsi="Times New Roman;serif"/>
                  <w:b w:val="false"/>
                  <w:color w:val="0000FF"/>
                  <w:sz w:val="20"/>
                  <w:u w:val="single"/>
                </w:rPr>
                <w:t>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22">
              <w:r>
                <w:rPr>
                  <w:rStyle w:val="InternetLink"/>
                  <w:rFonts w:ascii="Times New Roman;serif" w:hAnsi="Times New Roman;serif"/>
                  <w:b w:val="false"/>
                  <w:color w:val="0000FF"/>
                  <w:sz w:val="20"/>
                  <w:u w:val="single"/>
                </w:rPr>
                <w:t>Background and General Information about the 2026 Annual Meeting</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22">
              <w:r>
                <w:rPr>
                  <w:rStyle w:val="InternetLink"/>
                  <w:rFonts w:ascii="Times New Roman;serif" w:hAnsi="Times New Roman;serif"/>
                  <w:b w:val="false"/>
                  <w:color w:val="0000FF"/>
                  <w:sz w:val="20"/>
                  <w:u w:val="single"/>
                </w:rPr>
                <w:t>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25">
              <w:r>
                <w:rPr>
                  <w:rStyle w:val="InternetLink"/>
                  <w:rFonts w:ascii="Times New Roman;serif" w:hAnsi="Times New Roman;serif"/>
                  <w:b w:val="false"/>
                  <w:color w:val="0000FF"/>
                  <w:sz w:val="20"/>
                  <w:u w:val="single"/>
                </w:rPr>
                <w:t>Questions and Answers about the 2026 Annual Meeting of Stockholders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25">
              <w:r>
                <w:rPr>
                  <w:rStyle w:val="InternetLink"/>
                  <w:rFonts w:ascii="Times New Roman;serif" w:hAnsi="Times New Roman;serif"/>
                  <w:b w:val="false"/>
                  <w:color w:val="0000FF"/>
                  <w:sz w:val="20"/>
                  <w:u w:val="single"/>
                </w:rPr>
                <w:t>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28">
              <w:r>
                <w:rPr>
                  <w:rStyle w:val="InternetLink"/>
                  <w:rFonts w:ascii="Times New Roman;serif" w:hAnsi="Times New Roman;serif"/>
                  <w:b w:val="false"/>
                  <w:color w:val="0000FF"/>
                  <w:sz w:val="20"/>
                  <w:u w:val="single"/>
                </w:rPr>
                <w:t>Corporate Governance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28">
              <w:r>
                <w:rPr>
                  <w:rStyle w:val="InternetLink"/>
                  <w:rFonts w:ascii="Times New Roman;serif" w:hAnsi="Times New Roman;serif"/>
                  <w:b w:val="false"/>
                  <w:color w:val="0000FF"/>
                  <w:sz w:val="20"/>
                  <w:u w:val="single"/>
                </w:rPr>
                <w:t>10</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31">
              <w:r>
                <w:rPr>
                  <w:rStyle w:val="InternetLink"/>
                  <w:rFonts w:ascii="Times New Roman;serif" w:hAnsi="Times New Roman;serif"/>
                  <w:b w:val="false"/>
                  <w:color w:val="0000FF"/>
                  <w:sz w:val="20"/>
                  <w:u w:val="single"/>
                </w:rPr>
                <w:t>Committees of our Board of Directors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31">
              <w:r>
                <w:rPr>
                  <w:rStyle w:val="InternetLink"/>
                  <w:rFonts w:ascii="Times New Roman;serif" w:hAnsi="Times New Roman;serif"/>
                  <w:b w:val="false"/>
                  <w:color w:val="0000FF"/>
                  <w:sz w:val="20"/>
                  <w:u w:val="single"/>
                </w:rPr>
                <w:t>13</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34">
              <w:r>
                <w:rPr>
                  <w:rStyle w:val="InternetLink"/>
                  <w:rFonts w:ascii="Times New Roman;serif" w:hAnsi="Times New Roman;serif"/>
                  <w:b w:val="false"/>
                  <w:color w:val="0000FF"/>
                  <w:sz w:val="20"/>
                  <w:u w:val="single"/>
                </w:rPr>
                <w:t>Audit Committee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34">
              <w:r>
                <w:rPr>
                  <w:rStyle w:val="InternetLink"/>
                  <w:rFonts w:ascii="Times New Roman;serif" w:hAnsi="Times New Roman;serif"/>
                  <w:b w:val="false"/>
                  <w:color w:val="0000FF"/>
                  <w:sz w:val="20"/>
                  <w:u w:val="single"/>
                </w:rPr>
                <w:t>13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37">
              <w:r>
                <w:rPr>
                  <w:rStyle w:val="InternetLink"/>
                  <w:rFonts w:ascii="Times New Roman;serif" w:hAnsi="Times New Roman;serif"/>
                  <w:b w:val="false"/>
                  <w:color w:val="0000FF"/>
                  <w:sz w:val="20"/>
                  <w:u w:val="single"/>
                </w:rPr>
                <w:t>Compensation Committee</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37">
              <w:r>
                <w:rPr>
                  <w:rStyle w:val="InternetLink"/>
                  <w:rFonts w:ascii="Times New Roman;serif" w:hAnsi="Times New Roman;serif"/>
                  <w:b w:val="false"/>
                  <w:color w:val="0000FF"/>
                  <w:sz w:val="20"/>
                  <w:u w:val="single"/>
                </w:rPr>
                <w:t>15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40">
              <w:r>
                <w:rPr>
                  <w:rStyle w:val="InternetLink"/>
                  <w:rFonts w:ascii="Times New Roman;serif" w:hAnsi="Times New Roman;serif"/>
                  <w:b w:val="false"/>
                  <w:color w:val="0000FF"/>
                  <w:sz w:val="20"/>
                  <w:u w:val="single"/>
                </w:rPr>
                <w:t>Nominating and Corporate Governance Committee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40">
              <w:r>
                <w:rPr>
                  <w:rStyle w:val="InternetLink"/>
                  <w:rFonts w:ascii="Times New Roman;serif" w:hAnsi="Times New Roman;serif"/>
                  <w:b w:val="false"/>
                  <w:color w:val="0000FF"/>
                  <w:sz w:val="20"/>
                  <w:u w:val="single"/>
                </w:rPr>
                <w:t>15</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46">
              <w:r>
                <w:rPr>
                  <w:rStyle w:val="InternetLink"/>
                  <w:rFonts w:ascii="Times New Roman;serif" w:hAnsi="Times New Roman;serif"/>
                  <w:b w:val="false"/>
                  <w:color w:val="0000FF"/>
                  <w:sz w:val="20"/>
                  <w:u w:val="single"/>
                </w:rPr>
                <w:t>Proposal 1: Election of Directors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46">
              <w:r>
                <w:rPr>
                  <w:rStyle w:val="InternetLink"/>
                  <w:rFonts w:ascii="Times New Roman;serif" w:hAnsi="Times New Roman;serif"/>
                  <w:b w:val="false"/>
                  <w:color w:val="0000FF"/>
                  <w:sz w:val="20"/>
                  <w:u w:val="single"/>
                </w:rPr>
                <w:t>17</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49">
              <w:r>
                <w:rPr>
                  <w:rStyle w:val="InternetLink"/>
                  <w:rFonts w:ascii="Times New Roman;serif" w:hAnsi="Times New Roman;serif"/>
                  <w:b w:val="false"/>
                  <w:color w:val="0000FF"/>
                  <w:sz w:val="20"/>
                  <w:u w:val="single"/>
                </w:rPr>
                <w:t xml:space="preserve">Continuing Members of our Board of Directors </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49">
              <w:r>
                <w:rPr>
                  <w:rStyle w:val="InternetLink"/>
                  <w:rFonts w:ascii="Times New Roman;serif" w:hAnsi="Times New Roman;serif"/>
                  <w:b w:val="false"/>
                  <w:color w:val="0000FF"/>
                  <w:sz w:val="20"/>
                  <w:u w:val="single"/>
                </w:rPr>
                <w:t>19</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f0534c76274411dbfba052751af5a3a_52">
              <w:r>
                <w:rPr>
                  <w:rStyle w:val="InternetLink"/>
                  <w:rFonts w:ascii="Times New Roman;serif" w:hAnsi="Times New Roman;serif"/>
                  <w:b w:val="false"/>
                  <w:color w:val="0000FF"/>
                  <w:sz w:val="20"/>
                  <w:u w:val="single"/>
                </w:rPr>
                <w:t>Proposal 2: Ratification of Appointment of Independent Registered Public Accounting Firm</w:t>
              </w:r>
            </w:hyperlink>
            <w:r>
              <w:rPr>
                <w:color w:val="000000"/>
              </w:rPr>
              <w:t xml:space="preserve"> </w:t>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52">
              <w:r>
                <w:rPr>
                  <w:rStyle w:val="InternetLink"/>
                  <w:rFonts w:ascii="Times New Roman;serif" w:hAnsi="Times New Roman;serif"/>
                  <w:b w:val="false"/>
                  <w:color w:val="0000FF"/>
                  <w:sz w:val="20"/>
                  <w:u w:val="single"/>
                </w:rPr>
                <w:t>22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55">
              <w:r>
                <w:rPr>
                  <w:rStyle w:val="InternetLink"/>
                  <w:rFonts w:ascii="Times New Roman;serif" w:hAnsi="Times New Roman;serif"/>
                  <w:b w:val="false"/>
                  <w:color w:val="0000FF"/>
                  <w:sz w:val="20"/>
                  <w:u w:val="single"/>
                </w:rPr>
                <w:t>Independent Registered Public Accounting Firm Fees and Other Matters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55">
              <w:r>
                <w:rPr>
                  <w:rStyle w:val="InternetLink"/>
                  <w:rFonts w:ascii="Times New Roman;serif" w:hAnsi="Times New Roman;serif"/>
                  <w:b w:val="false"/>
                  <w:color w:val="0000FF"/>
                  <w:sz w:val="20"/>
                  <w:u w:val="single"/>
                </w:rPr>
                <w:t>22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58">
              <w:r>
                <w:rPr>
                  <w:rStyle w:val="InternetLink"/>
                  <w:rFonts w:ascii="Times New Roman;serif" w:hAnsi="Times New Roman;serif"/>
                  <w:b w:val="false"/>
                  <w:color w:val="0000FF"/>
                  <w:sz w:val="20"/>
                  <w:u w:val="single"/>
                </w:rPr>
                <w:t>Report of the Audit Committee of the Board of Directors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58">
              <w:r>
                <w:rPr>
                  <w:rStyle w:val="InternetLink"/>
                  <w:rFonts w:ascii="Times New Roman;serif" w:hAnsi="Times New Roman;serif"/>
                  <w:b w:val="false"/>
                  <w:color w:val="0000FF"/>
                  <w:sz w:val="20"/>
                  <w:u w:val="single"/>
                </w:rPr>
                <w:t>24</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61">
              <w:r>
                <w:rPr>
                  <w:rStyle w:val="InternetLink"/>
                  <w:rFonts w:ascii="Times New Roman;serif" w:hAnsi="Times New Roman;serif"/>
                  <w:b w:val="false"/>
                  <w:color w:val="0000FF"/>
                  <w:sz w:val="20"/>
                  <w:u w:val="single"/>
                </w:rPr>
                <w:t>Proposal No. 3 Approval of Amendment to Amended and Restated Certificate of Incorporation to Effect Reverse Stock Split</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61">
              <w:r>
                <w:rPr>
                  <w:rStyle w:val="InternetLink"/>
                  <w:rFonts w:ascii="Times New Roman;serif" w:hAnsi="Times New Roman;serif"/>
                  <w:b w:val="false"/>
                  <w:color w:val="0000FF"/>
                  <w:sz w:val="20"/>
                  <w:u w:val="single"/>
                </w:rPr>
                <w:t>25</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64">
              <w:r>
                <w:rPr>
                  <w:rStyle w:val="InternetLink"/>
                  <w:rFonts w:ascii="Times New Roman;serif" w:hAnsi="Times New Roman;serif"/>
                  <w:b w:val="false"/>
                  <w:color w:val="0000FF"/>
                  <w:sz w:val="20"/>
                  <w:u w:val="single"/>
                </w:rPr>
                <w:t>Proposal No. 4 Approval of First Amendment to 2022 Equity Incentive Plan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64">
              <w:r>
                <w:rPr>
                  <w:rStyle w:val="InternetLink"/>
                  <w:rFonts w:ascii="Times New Roman;serif" w:hAnsi="Times New Roman;serif"/>
                  <w:b w:val="false"/>
                  <w:color w:val="0000FF"/>
                  <w:sz w:val="20"/>
                  <w:u w:val="single"/>
                </w:rPr>
                <w:t>33</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67">
              <w:r>
                <w:rPr>
                  <w:rStyle w:val="InternetLink"/>
                  <w:rFonts w:ascii="Times New Roman;serif" w:hAnsi="Times New Roman;serif"/>
                  <w:b w:val="false"/>
                  <w:color w:val="0000FF"/>
                  <w:sz w:val="20"/>
                  <w:u w:val="single"/>
                </w:rPr>
                <w:t>Proposal No. 5 Approval of First Amendment to the 2022 Employee Stock Purchase Plan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67">
              <w:r>
                <w:rPr>
                  <w:rStyle w:val="InternetLink"/>
                  <w:rFonts w:ascii="Times New Roman;serif" w:hAnsi="Times New Roman;serif"/>
                  <w:b w:val="false"/>
                  <w:color w:val="0000FF"/>
                  <w:sz w:val="20"/>
                  <w:u w:val="single"/>
                </w:rPr>
                <w:t>42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70">
              <w:r>
                <w:rPr>
                  <w:rStyle w:val="InternetLink"/>
                  <w:rFonts w:ascii="Times New Roman;serif" w:hAnsi="Times New Roman;serif"/>
                  <w:b w:val="false"/>
                  <w:color w:val="0000FF"/>
                  <w:sz w:val="20"/>
                  <w:u w:val="single"/>
                </w:rPr>
                <w:t>Executive Officers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70">
              <w:r>
                <w:rPr>
                  <w:rStyle w:val="InternetLink"/>
                  <w:rFonts w:ascii="Times New Roman;serif" w:hAnsi="Times New Roman;serif"/>
                  <w:b w:val="false"/>
                  <w:color w:val="0000FF"/>
                  <w:sz w:val="20"/>
                  <w:u w:val="single"/>
                </w:rPr>
                <w:t>48</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73">
              <w:r>
                <w:rPr>
                  <w:rStyle w:val="InternetLink"/>
                  <w:rFonts w:ascii="Times New Roman;serif" w:hAnsi="Times New Roman;serif"/>
                  <w:b w:val="false"/>
                  <w:color w:val="0000FF"/>
                  <w:sz w:val="20"/>
                  <w:u w:val="single"/>
                </w:rPr>
                <w:t>Executive and Director Compensation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73">
              <w:r>
                <w:rPr>
                  <w:rStyle w:val="InternetLink"/>
                  <w:rFonts w:ascii="Times New Roman;serif" w:hAnsi="Times New Roman;serif"/>
                  <w:b w:val="false"/>
                  <w:color w:val="0000FF"/>
                  <w:sz w:val="20"/>
                  <w:u w:val="single"/>
                </w:rPr>
                <w:t>51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76">
              <w:r>
                <w:rPr>
                  <w:rStyle w:val="InternetLink"/>
                  <w:rFonts w:ascii="Times New Roman;serif" w:hAnsi="Times New Roman;serif"/>
                  <w:b w:val="false"/>
                  <w:color w:val="0000FF"/>
                  <w:sz w:val="20"/>
                  <w:u w:val="single"/>
                </w:rPr>
                <w:t>Security Ownership of Certain Beneficial Owners and Management</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76">
              <w:r>
                <w:rPr>
                  <w:rStyle w:val="InternetLink"/>
                  <w:rFonts w:ascii="Times New Roman;serif" w:hAnsi="Times New Roman;serif"/>
                  <w:b w:val="false"/>
                  <w:color w:val="0000FF"/>
                  <w:sz w:val="20"/>
                  <w:u w:val="single"/>
                </w:rPr>
                <w:t>60</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79">
              <w:r>
                <w:rPr>
                  <w:rStyle w:val="InternetLink"/>
                  <w:rFonts w:ascii="Times New Roman;serif" w:hAnsi="Times New Roman;serif"/>
                  <w:b w:val="false"/>
                  <w:color w:val="0000FF"/>
                  <w:sz w:val="20"/>
                  <w:u w:val="single"/>
                </w:rPr>
                <w:t>Delinquent Section 16(a) Reports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79">
              <w:r>
                <w:rPr>
                  <w:rStyle w:val="InternetLink"/>
                  <w:rFonts w:ascii="Times New Roman;serif" w:hAnsi="Times New Roman;serif"/>
                  <w:b w:val="false"/>
                  <w:color w:val="0000FF"/>
                  <w:sz w:val="20"/>
                  <w:u w:val="single"/>
                </w:rPr>
                <w:t>61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82">
              <w:r>
                <w:rPr>
                  <w:rStyle w:val="InternetLink"/>
                  <w:rFonts w:ascii="Times New Roman;serif" w:hAnsi="Times New Roman;serif"/>
                  <w:b w:val="false"/>
                  <w:color w:val="0000FF"/>
                  <w:sz w:val="20"/>
                  <w:u w:val="single"/>
                </w:rPr>
                <w:t>Certain Relationships and Related Person Transactions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82">
              <w:r>
                <w:rPr>
                  <w:rStyle w:val="InternetLink"/>
                  <w:rFonts w:ascii="Times New Roman;serif" w:hAnsi="Times New Roman;serif"/>
                  <w:b w:val="false"/>
                  <w:color w:val="0000FF"/>
                  <w:sz w:val="20"/>
                  <w:u w:val="single"/>
                </w:rPr>
                <w:t>61</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85">
              <w:r>
                <w:rPr>
                  <w:rStyle w:val="InternetLink"/>
                  <w:rFonts w:ascii="Times New Roman;serif" w:hAnsi="Times New Roman;serif"/>
                  <w:b w:val="false"/>
                  <w:color w:val="0000FF"/>
                  <w:sz w:val="20"/>
                  <w:u w:val="single"/>
                </w:rPr>
                <w:t>2027 Stockholders’ Proposals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85">
              <w:r>
                <w:rPr>
                  <w:rStyle w:val="InternetLink"/>
                  <w:rFonts w:ascii="Times New Roman;serif" w:hAnsi="Times New Roman;serif"/>
                  <w:b w:val="false"/>
                  <w:color w:val="0000FF"/>
                  <w:sz w:val="20"/>
                  <w:u w:val="single"/>
                </w:rPr>
                <w:t>64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94">
              <w:r>
                <w:rPr>
                  <w:rStyle w:val="InternetLink"/>
                  <w:rFonts w:ascii="Times New Roman;serif" w:hAnsi="Times New Roman;serif"/>
                  <w:b w:val="false"/>
                  <w:color w:val="0000FF"/>
                  <w:sz w:val="20"/>
                  <w:u w:val="single"/>
                </w:rPr>
                <w:t>Other Matters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94">
              <w:r>
                <w:rPr>
                  <w:rStyle w:val="InternetLink"/>
                  <w:rFonts w:ascii="Times New Roman;serif" w:hAnsi="Times New Roman;serif"/>
                  <w:b w:val="false"/>
                  <w:color w:val="0000FF"/>
                  <w:sz w:val="20"/>
                  <w:u w:val="single"/>
                </w:rPr>
                <w:t>65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88">
              <w:r>
                <w:rPr>
                  <w:rStyle w:val="InternetLink"/>
                  <w:rFonts w:ascii="Times New Roman;serif" w:hAnsi="Times New Roman;serif"/>
                  <w:b w:val="false"/>
                  <w:color w:val="0000FF"/>
                  <w:sz w:val="20"/>
                  <w:u w:val="single"/>
                </w:rPr>
                <w:t>Solicitation of Proxies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88">
              <w:r>
                <w:rPr>
                  <w:rStyle w:val="InternetLink"/>
                  <w:rFonts w:ascii="Times New Roman;serif" w:hAnsi="Times New Roman;serif"/>
                  <w:b w:val="false"/>
                  <w:color w:val="0000FF"/>
                  <w:sz w:val="20"/>
                  <w:u w:val="single"/>
                </w:rPr>
                <w:t>64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91">
              <w:r>
                <w:rPr>
                  <w:rStyle w:val="InternetLink"/>
                  <w:rFonts w:ascii="Times New Roman;serif" w:hAnsi="Times New Roman;serif"/>
                  <w:b w:val="false"/>
                  <w:color w:val="0000FF"/>
                  <w:sz w:val="20"/>
                  <w:u w:val="single"/>
                </w:rPr>
                <w:t xml:space="preserve">Getty Images Holdings, Inc.’s Annual Report on Form 10-K </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91">
              <w:r>
                <w:rPr>
                  <w:rStyle w:val="InternetLink"/>
                  <w:rFonts w:ascii="Times New Roman;serif" w:hAnsi="Times New Roman;serif"/>
                  <w:b w:val="false"/>
                  <w:color w:val="0000FF"/>
                  <w:sz w:val="20"/>
                  <w:u w:val="single"/>
                </w:rPr>
                <w:t>65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97">
              <w:r>
                <w:rPr>
                  <w:rStyle w:val="InternetLink"/>
                  <w:rFonts w:ascii="Times New Roman;serif" w:hAnsi="Times New Roman;serif"/>
                  <w:b w:val="false"/>
                  <w:color w:val="0000FF"/>
                  <w:sz w:val="20"/>
                  <w:u w:val="single"/>
                </w:rPr>
                <w:t>Appendix A: Amended and Restated Certificate of Incorporation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97">
              <w:r>
                <w:rPr>
                  <w:rStyle w:val="InternetLink"/>
                  <w:rFonts w:ascii="Times New Roman;serif" w:hAnsi="Times New Roman;serif"/>
                  <w:b w:val="false"/>
                  <w:color w:val="0000FF"/>
                  <w:sz w:val="20"/>
                  <w:u w:val="single"/>
                </w:rPr>
                <w:t>66</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100">
              <w:r>
                <w:rPr>
                  <w:rStyle w:val="InternetLink"/>
                  <w:rFonts w:ascii="Times New Roman;serif" w:hAnsi="Times New Roman;serif"/>
                  <w:b w:val="false"/>
                  <w:color w:val="0000FF"/>
                  <w:sz w:val="20"/>
                  <w:u w:val="single"/>
                </w:rPr>
                <w:t>Appendix B: Amendment to 2022 Equity Incentive Plan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100">
              <w:r>
                <w:rPr>
                  <w:rStyle w:val="InternetLink"/>
                  <w:rFonts w:ascii="Times New Roman;serif" w:hAnsi="Times New Roman;serif"/>
                  <w:b w:val="false"/>
                  <w:color w:val="0000FF"/>
                  <w:sz w:val="20"/>
                  <w:u w:val="single"/>
                </w:rPr>
                <w:t>79</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f0534c76274411dbfba052751af5a3a_103">
              <w:r>
                <w:rPr>
                  <w:rStyle w:val="InternetLink"/>
                  <w:rFonts w:ascii="Times New Roman;serif" w:hAnsi="Times New Roman;serif"/>
                  <w:b w:val="false"/>
                  <w:color w:val="0000FF"/>
                  <w:sz w:val="20"/>
                  <w:u w:val="single"/>
                </w:rPr>
                <w:t xml:space="preserve">Appendix C: Amendment to 2022 Employee Stock Purchase Plan </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f0534c76274411dbfba052751af5a3a_103">
              <w:r>
                <w:rPr>
                  <w:rStyle w:val="InternetLink"/>
                  <w:rFonts w:ascii="Times New Roman;serif" w:hAnsi="Times New Roman;serif"/>
                  <w:b w:val="false"/>
                  <w:color w:val="0000FF"/>
                  <w:sz w:val="20"/>
                  <w:u w:val="single"/>
                </w:rPr>
                <w:t>80</w:t>
              </w:r>
            </w:hyperlink>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PROXY STATEMENT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FOR THE 2026 ANNUAL MEETING OF STOCKHOLDERS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This proxy statement is furnished in connection with the solicitation by the Board of Directors of Getty Images Holdings, Inc. of proxies to be voted at our Annual Meeting of Stockholders to be held virtually on Thursday, October 8, 2026 at 10:30 a.m., Eastern Time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xml:space="preserve">), and any adjournment or postponement thereof. You will be able to attend the 2026 Annual Meeting online and submit your questions during the meeting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and entering your 11-digit control number included on your Notice of Internet Availability of Proxy Materials (the “</w:t>
      </w:r>
      <w:r>
        <w:rPr>
          <w:rFonts w:ascii="Times New Roman;serif" w:hAnsi="Times New Roman;serif"/>
          <w:b w:val="false"/>
          <w:color w:val="000000"/>
          <w:sz w:val="20"/>
          <w:u w:val="single"/>
        </w:rPr>
        <w:t>Internet Notice</w:t>
      </w:r>
      <w:r>
        <w:rPr>
          <w:color w:val="000000"/>
        </w:rPr>
        <w:t>”</w:t>
      </w:r>
      <w:r>
        <w:rPr>
          <w:rFonts w:ascii="Times New Roman;serif" w:hAnsi="Times New Roman;serif"/>
          <w:b w:val="false"/>
          <w:color w:val="000000"/>
          <w:sz w:val="20"/>
        </w:rPr>
        <w:t>), on your proxy card or on the instructions that accompanied your proxy materials.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Holders of record of shares of our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as of the close of business on August 17,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will be entitled to notice of and to vote at the 2026 Annual Meeting and any adjournment or postponement thereof. As of the Record Date, there were 414,811,306 shares of Class A common stock outstanding and entitled to vote at the 2026 Annual Meeting. Each share of Class A common stock is entitled to one vote on any matter presented to stockholders at the 2026 Annual Meeting.</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accordance with Securities and Exchange Commission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rules, we are using the Internet as our primary means of furnishing proxy materials to stockholders. Consequently, most stockholders will not receive paper copies of our proxy materials. We will instead send these stockholders an Internet Notice with instructions for accessing the proxy materials, including this proxy statement and the Company’s annual report to stockholders for the year ended December 31, 2025 (the “</w:t>
      </w:r>
      <w:r>
        <w:rPr>
          <w:rFonts w:ascii="Times New Roman;serif" w:hAnsi="Times New Roman;serif"/>
          <w:b w:val="false"/>
          <w:color w:val="000000"/>
          <w:sz w:val="20"/>
          <w:u w:val="single"/>
        </w:rPr>
        <w:t>2025 Annual Report</w:t>
      </w:r>
      <w:r>
        <w:rPr>
          <w:color w:val="000000"/>
        </w:rPr>
        <w:t>”</w:t>
      </w:r>
      <w:r>
        <w:rPr>
          <w:rFonts w:ascii="Times New Roman;serif" w:hAnsi="Times New Roman;serif"/>
          <w:b w:val="false"/>
          <w:color w:val="000000"/>
          <w:sz w:val="20"/>
        </w:rPr>
        <w:t xml:space="preserve">), and voting via the Internet. The Internet Notice also provides information on how stockholders may obtain paper copies of our proxy materials if they so choose. We believe this rule makes the proxy distribution process more efficient, less costly, and helps in conserving natural resources.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Internet Notice and this proxy statement for the 2026 Annual Meeting, and the accompanying form of proxy, were first distributed and made available on the Internet to stockholders on or about August 28, 2026. The 2025 Annual Report is available with this proxy statement by following the instructions in the Internet Notice.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this proxy statement, “</w:t>
      </w:r>
      <w:r>
        <w:rPr>
          <w:rFonts w:ascii="Times New Roman;serif" w:hAnsi="Times New Roman;serif"/>
          <w:b w:val="false"/>
          <w:color w:val="000000"/>
          <w:sz w:val="20"/>
          <w:u w:val="single"/>
        </w:rPr>
        <w:t>Getty Images</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Getty</w:t>
      </w:r>
      <w:r>
        <w:rPr>
          <w:color w:val="000000"/>
        </w:rPr>
        <w:t>”</w:t>
      </w:r>
      <w:r>
        <w:rPr>
          <w:rFonts w:ascii="Times New Roman;serif" w:hAnsi="Times New Roman;serif"/>
          <w:b w:val="false"/>
          <w:color w:val="000000"/>
          <w:sz w:val="20"/>
        </w:rPr>
        <w:t>,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we</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us</w:t>
      </w:r>
      <w:r>
        <w:rPr>
          <w:color w:val="000000"/>
        </w:rPr>
        <w:t>”</w:t>
      </w:r>
      <w:r>
        <w:rPr>
          <w:rFonts w:ascii="Times New Roman;serif" w:hAnsi="Times New Roman;serif"/>
          <w:b w:val="false"/>
          <w:color w:val="000000"/>
          <w:sz w:val="20"/>
        </w:rPr>
        <w:t>, and “</w:t>
      </w:r>
      <w:r>
        <w:rPr>
          <w:rFonts w:ascii="Times New Roman;serif" w:hAnsi="Times New Roman;serif"/>
          <w:b w:val="false"/>
          <w:color w:val="000000"/>
          <w:sz w:val="20"/>
          <w:u w:val="single"/>
        </w:rPr>
        <w:t>our</w:t>
      </w:r>
      <w:r>
        <w:rPr>
          <w:color w:val="000000"/>
        </w:rPr>
        <w:t xml:space="preserve">” </w:t>
      </w:r>
      <w:r>
        <w:rPr>
          <w:rFonts w:ascii="Times New Roman;serif" w:hAnsi="Times New Roman;serif"/>
          <w:b w:val="false"/>
          <w:color w:val="000000"/>
          <w:sz w:val="20"/>
        </w:rPr>
        <w:t>refer to Getty Images Holdings, Inc. after the Business Combination (as defined herein) and to Griffey Global Holdings, Inc., a Delaware corporation (“</w:t>
      </w:r>
      <w:r>
        <w:rPr>
          <w:rFonts w:ascii="Times New Roman;serif" w:hAnsi="Times New Roman;serif"/>
          <w:b w:val="false"/>
          <w:color w:val="000000"/>
          <w:sz w:val="20"/>
          <w:u w:val="single"/>
        </w:rPr>
        <w:t>Legacy Getty</w:t>
      </w:r>
      <w:r>
        <w:rPr>
          <w:color w:val="000000"/>
        </w:rPr>
        <w:t>”</w:t>
      </w:r>
      <w:r>
        <w:rPr>
          <w:rFonts w:ascii="Times New Roman;serif" w:hAnsi="Times New Roman;serif"/>
          <w:b w:val="false"/>
          <w:color w:val="000000"/>
          <w:sz w:val="20"/>
        </w:rPr>
        <w:t>) and Getty Images, Inc. before the Business Combination, unless stated otherwise or the context otherwise requires.</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IMPORTANT NOTICE REGARDING THE AVAILABILITY OF PROXY MATERIALS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STOCKHOLDER MEETING TO BE HELD ON THURSDAY, OCTOBER 8, 2026</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This proxy statement and our 2025 Annual Report to Stockholders</w:t>
      </w:r>
    </w:p>
    <w:p>
      <w:pPr>
        <w:pStyle w:val="TextBody"/>
        <w:bidi w:val="0"/>
        <w:spacing w:lineRule="auto" w:line="288" w:before="0" w:after="0"/>
        <w:jc w:val="center"/>
        <w:rPr/>
      </w:pPr>
      <w:r>
        <w:rPr>
          <w:rFonts w:ascii="Times New Roman;serif" w:hAnsi="Times New Roman;serif"/>
          <w:b/>
          <w:color w:val="000000"/>
          <w:sz w:val="20"/>
        </w:rPr>
        <w:t xml:space="preserve">are also available at </w:t>
      </w:r>
      <w:r>
        <w:rPr>
          <w:rFonts w:ascii="Times New Roman;serif" w:hAnsi="Times New Roman;serif"/>
          <w:b/>
          <w:i/>
          <w:color w:val="000000"/>
          <w:sz w:val="20"/>
        </w:rPr>
        <w:t>www.eqproxyportal.com/26903/annual</w:t>
      </w:r>
    </w:p>
    <w:p>
      <w:pPr>
        <w:pStyle w:val="TextBody"/>
        <w:bidi w:val="0"/>
        <w:spacing w:before="240" w:after="283"/>
        <w:jc w:val="both"/>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NOTE ABOUT FORWARD-LOOKING STATEMENTS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This proxy statement includes statements relating to our business and objectives that are “forward-looking statements” within the meaning of the Private Securities Litigation Reform Act of 1995, Section 27A of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and Section 21E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pStyle w:val="TextBody"/>
        <w:bidi w:val="0"/>
        <w:spacing w:before="160" w:after="283"/>
        <w:ind w:left="0" w:right="0" w:firstLine="450"/>
        <w:jc w:val="both"/>
        <w:rPr/>
      </w:pPr>
      <w:r>
        <w:rPr/>
      </w:r>
    </w:p>
    <w:p>
      <w:pPr>
        <w:pStyle w:val="TextBody"/>
        <w:bidi w:val="0"/>
        <w:spacing w:before="160" w:after="283"/>
        <w:ind w:left="0" w:right="0" w:firstLine="450"/>
        <w:jc w:val="both"/>
        <w:rPr/>
      </w:pPr>
      <w:r>
        <w:rPr/>
      </w:r>
    </w:p>
    <w:p>
      <w:pPr>
        <w:pStyle w:val="TextBody"/>
        <w:bidi w:val="0"/>
        <w:spacing w:before="16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BACKGROUND AND GENERAL INFORMATION ABOUT THE 2026 ANNUAL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About Getty Images Business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Getty Images was founded in 1995, with the core mission of bringing the world’s best creative and editorial visual content solutions to our customers to engage their audiences. We have developed market enhancements across ecommerce, content subscriptions, user-generated content, inclusive content, and proprietary research alongside investment in our technology platform, which includes generative artificial intelligence (“</w:t>
      </w:r>
      <w:r>
        <w:rPr>
          <w:rFonts w:ascii="Times New Roman;serif" w:hAnsi="Times New Roman;serif"/>
          <w:b w:val="false"/>
          <w:color w:val="000000"/>
          <w:sz w:val="20"/>
          <w:u w:val="single"/>
        </w:rPr>
        <w:t>AI</w:t>
      </w:r>
      <w:r>
        <w:rPr>
          <w:color w:val="000000"/>
        </w:rPr>
        <w:t>”</w:t>
      </w:r>
      <w:r>
        <w:rPr>
          <w:rFonts w:ascii="Times New Roman;serif" w:hAnsi="Times New Roman;serif"/>
          <w:b w:val="false"/>
          <w:color w:val="000000"/>
          <w:sz w:val="20"/>
        </w:rPr>
        <w:t>) services designed to be commercially safe, natural language processing, AI based integrated APIs, to become a global, trusted industry leader in the visual content space.</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On July 22, 2022 (the “</w:t>
      </w:r>
      <w:r>
        <w:rPr>
          <w:rFonts w:ascii="Times New Roman;serif" w:hAnsi="Times New Roman;serif"/>
          <w:b w:val="false"/>
          <w:color w:val="000000"/>
          <w:sz w:val="20"/>
          <w:u w:val="single"/>
        </w:rPr>
        <w:t>Closing Date</w:t>
      </w:r>
      <w:r>
        <w:rPr>
          <w:color w:val="000000"/>
        </w:rPr>
        <w:t>”</w:t>
      </w:r>
      <w:r>
        <w:rPr>
          <w:rFonts w:ascii="Times New Roman;serif" w:hAnsi="Times New Roman;serif"/>
          <w:b w:val="false"/>
          <w:color w:val="000000"/>
          <w:sz w:val="20"/>
        </w:rPr>
        <w:t>), the Company consummated the transactions in the Business Combination Agreement, dated December 9, 2021 (the “</w:t>
      </w:r>
      <w:r>
        <w:rPr>
          <w:rFonts w:ascii="Times New Roman;serif" w:hAnsi="Times New Roman;serif"/>
          <w:b w:val="false"/>
          <w:color w:val="000000"/>
          <w:sz w:val="20"/>
          <w:u w:val="single"/>
        </w:rPr>
        <w:t>Business Combination Agreement</w:t>
      </w:r>
      <w:r>
        <w:rPr>
          <w:color w:val="000000"/>
        </w:rPr>
        <w:t xml:space="preserve">” </w:t>
      </w:r>
      <w:r>
        <w:rPr>
          <w:rFonts w:ascii="Times New Roman;serif" w:hAnsi="Times New Roman;serif"/>
          <w:b w:val="false"/>
          <w:color w:val="000000"/>
          <w:sz w:val="20"/>
        </w:rPr>
        <w:t>and the consummation of such transactions, the “</w:t>
      </w:r>
      <w:r>
        <w:rPr>
          <w:rFonts w:ascii="Times New Roman;serif" w:hAnsi="Times New Roman;serif"/>
          <w:b w:val="false"/>
          <w:color w:val="000000"/>
          <w:sz w:val="20"/>
          <w:u w:val="single"/>
        </w:rPr>
        <w:t>Closing</w:t>
      </w:r>
      <w:r>
        <w:rPr>
          <w:color w:val="000000"/>
        </w:rPr>
        <w:t>”</w:t>
      </w:r>
      <w:r>
        <w:rPr>
          <w:rFonts w:ascii="Times New Roman;serif" w:hAnsi="Times New Roman;serif"/>
          <w:b w:val="false"/>
          <w:color w:val="000000"/>
          <w:sz w:val="20"/>
        </w:rPr>
        <w:t>), by and among CC Neuberger Principal Holdings II, a Cayman Islands exempted company (“</w:t>
      </w:r>
      <w:r>
        <w:rPr>
          <w:rFonts w:ascii="Times New Roman;serif" w:hAnsi="Times New Roman;serif"/>
          <w:b w:val="false"/>
          <w:color w:val="000000"/>
          <w:sz w:val="20"/>
          <w:u w:val="single"/>
        </w:rPr>
        <w:t>CCNB</w:t>
      </w:r>
      <w:r>
        <w:rPr>
          <w:color w:val="000000"/>
        </w:rPr>
        <w:t>”</w:t>
      </w:r>
      <w:r>
        <w:rPr>
          <w:rFonts w:ascii="Times New Roman;serif" w:hAnsi="Times New Roman;serif"/>
          <w:b w:val="false"/>
          <w:color w:val="000000"/>
          <w:sz w:val="20"/>
        </w:rPr>
        <w:t>), the Company (at such time, Vector Holding, LLC, a Delaware limited liability company and wholly-owned subsidiary of CCNB), Vector Domestication Merger Sub, LLC, a Delaware limited liability company and wholly-owned subsidiary of the Company (“</w:t>
      </w:r>
      <w:r>
        <w:rPr>
          <w:rFonts w:ascii="Times New Roman;serif" w:hAnsi="Times New Roman;serif"/>
          <w:b w:val="false"/>
          <w:color w:val="000000"/>
          <w:sz w:val="20"/>
          <w:u w:val="single"/>
        </w:rPr>
        <w:t>Domestication Merger Sub</w:t>
      </w:r>
      <w:r>
        <w:rPr>
          <w:color w:val="000000"/>
        </w:rPr>
        <w:t>”</w:t>
      </w:r>
      <w:r>
        <w:rPr>
          <w:rFonts w:ascii="Times New Roman;serif" w:hAnsi="Times New Roman;serif"/>
          <w:b w:val="false"/>
          <w:color w:val="000000"/>
          <w:sz w:val="20"/>
        </w:rPr>
        <w:t>), Vector Merger Sub 1, LLC, a Delaware limited liability company and a wholly-owned subsidiary of CCNB (“</w:t>
      </w:r>
      <w:r>
        <w:rPr>
          <w:rFonts w:ascii="Times New Roman;serif" w:hAnsi="Times New Roman;serif"/>
          <w:b w:val="false"/>
          <w:color w:val="000000"/>
          <w:sz w:val="20"/>
          <w:u w:val="single"/>
        </w:rPr>
        <w:t>G Merger Sub 1</w:t>
      </w:r>
      <w:r>
        <w:rPr>
          <w:color w:val="000000"/>
        </w:rPr>
        <w:t>”</w:t>
      </w:r>
      <w:r>
        <w:rPr>
          <w:rFonts w:ascii="Times New Roman;serif" w:hAnsi="Times New Roman;serif"/>
          <w:b w:val="false"/>
          <w:color w:val="000000"/>
          <w:sz w:val="20"/>
        </w:rPr>
        <w:t>), Vector Merger Sub 2, LLC, a Delaware limited liability company and a wholly-owned subsidiary of CCNB (“</w:t>
      </w:r>
      <w:r>
        <w:rPr>
          <w:rFonts w:ascii="Times New Roman;serif" w:hAnsi="Times New Roman;serif"/>
          <w:b w:val="false"/>
          <w:color w:val="000000"/>
          <w:sz w:val="20"/>
          <w:u w:val="single"/>
        </w:rPr>
        <w:t>G Merger Sub 2</w:t>
      </w:r>
      <w:r>
        <w:rPr>
          <w:color w:val="000000"/>
        </w:rPr>
        <w:t>”</w:t>
      </w:r>
      <w:r>
        <w:rPr>
          <w:rFonts w:ascii="Times New Roman;serif" w:hAnsi="Times New Roman;serif"/>
          <w:b w:val="false"/>
          <w:color w:val="000000"/>
          <w:sz w:val="20"/>
        </w:rPr>
        <w:t>), Griffey Global Holdings, Inc., a Delaware corporation (“</w:t>
      </w:r>
      <w:r>
        <w:rPr>
          <w:rFonts w:ascii="Times New Roman;serif" w:hAnsi="Times New Roman;serif"/>
          <w:b w:val="false"/>
          <w:color w:val="000000"/>
          <w:sz w:val="20"/>
          <w:u w:val="single"/>
        </w:rPr>
        <w:t>Legacy Getty</w:t>
      </w:r>
      <w:r>
        <w:rPr>
          <w:color w:val="000000"/>
        </w:rPr>
        <w:t>”</w:t>
      </w:r>
      <w:r>
        <w:rPr>
          <w:rFonts w:ascii="Times New Roman;serif" w:hAnsi="Times New Roman;serif"/>
          <w:b w:val="false"/>
          <w:color w:val="000000"/>
          <w:sz w:val="20"/>
        </w:rPr>
        <w:t>), and Griffey Investors, L.P., a Delaware limited partnership (the “</w:t>
      </w:r>
      <w:r>
        <w:rPr>
          <w:rFonts w:ascii="Times New Roman;serif" w:hAnsi="Times New Roman;serif"/>
          <w:b w:val="false"/>
          <w:color w:val="000000"/>
          <w:sz w:val="20"/>
          <w:u w:val="single"/>
        </w:rPr>
        <w:t>Partnership</w:t>
      </w:r>
      <w:r>
        <w:rPr>
          <w:color w:val="000000"/>
        </w:rPr>
        <w:t>”</w:t>
      </w:r>
      <w:r>
        <w:rPr>
          <w:rFonts w:ascii="Times New Roman;serif" w:hAnsi="Times New Roman;serif"/>
          <w:b w:val="false"/>
          <w:color w:val="000000"/>
          <w:sz w:val="20"/>
        </w:rPr>
        <w:t>). On the day prior to the Closing Date, the Company statutorily converted from a Delaware limited liability company to a Delaware corporation (the “</w:t>
      </w:r>
      <w:r>
        <w:rPr>
          <w:rFonts w:ascii="Times New Roman;serif" w:hAnsi="Times New Roman;serif"/>
          <w:b w:val="false"/>
          <w:color w:val="000000"/>
          <w:sz w:val="20"/>
          <w:u w:val="single"/>
        </w:rPr>
        <w:t>Statutory Conversion</w:t>
      </w:r>
      <w:r>
        <w:rPr>
          <w:color w:val="000000"/>
        </w:rPr>
        <w:t>”</w:t>
      </w:r>
      <w:r>
        <w:rPr>
          <w:rFonts w:ascii="Times New Roman;serif" w:hAnsi="Times New Roman;serif"/>
          <w:b w:val="false"/>
          <w:color w:val="000000"/>
          <w:sz w:val="20"/>
        </w:rPr>
        <w:t>). On the Closing Date, CCNB merged with and into Domestication Merger Sub, with Domestication Merger Sub surviving the merger as a wholly-owned direct subsidiary of the Company (the “</w:t>
      </w:r>
      <w:r>
        <w:rPr>
          <w:rFonts w:ascii="Times New Roman;serif" w:hAnsi="Times New Roman;serif"/>
          <w:b w:val="false"/>
          <w:color w:val="000000"/>
          <w:sz w:val="20"/>
          <w:u w:val="single"/>
        </w:rPr>
        <w:t>Domestication Merger</w:t>
      </w:r>
      <w:r>
        <w:rPr>
          <w:color w:val="000000"/>
        </w:rPr>
        <w:t>”</w:t>
      </w:r>
      <w:r>
        <w:rPr>
          <w:rFonts w:ascii="Times New Roman;serif" w:hAnsi="Times New Roman;serif"/>
          <w:b w:val="false"/>
          <w:color w:val="000000"/>
          <w:sz w:val="20"/>
        </w:rPr>
        <w:t>). Following the Domestication Merger on the Closing Date, G Merger Sub 1 merged with and into Legacy Getty, with Legacy Getty surviving the merger as an indirect wholly-owned subsidiary of the Company (the “</w:t>
      </w:r>
      <w:r>
        <w:rPr>
          <w:rFonts w:ascii="Times New Roman;serif" w:hAnsi="Times New Roman;serif"/>
          <w:b w:val="false"/>
          <w:color w:val="000000"/>
          <w:sz w:val="20"/>
          <w:u w:val="single"/>
        </w:rPr>
        <w:t>First Getty Merger</w:t>
      </w:r>
      <w:r>
        <w:rPr>
          <w:color w:val="000000"/>
        </w:rPr>
        <w:t>”</w:t>
      </w:r>
      <w:r>
        <w:rPr>
          <w:rFonts w:ascii="Times New Roman;serif" w:hAnsi="Times New Roman;serif"/>
          <w:b w:val="false"/>
          <w:color w:val="000000"/>
          <w:sz w:val="20"/>
        </w:rPr>
        <w:t>). Immediately after the First Getty Merger, Legacy Getty merged with and into G Merger Sub 2 with G Merger Sub 2 surviving the merger as an indirect wholly-owned subsidiary of the Company (the “</w:t>
      </w:r>
      <w:r>
        <w:rPr>
          <w:rFonts w:ascii="Times New Roman;serif" w:hAnsi="Times New Roman;serif"/>
          <w:b w:val="false"/>
          <w:color w:val="000000"/>
          <w:sz w:val="20"/>
          <w:u w:val="single"/>
        </w:rPr>
        <w:t>Second Getty Merger</w:t>
      </w:r>
      <w:r>
        <w:rPr>
          <w:color w:val="000000"/>
        </w:rPr>
        <w:t xml:space="preserve">” </w:t>
      </w:r>
      <w:r>
        <w:rPr>
          <w:rFonts w:ascii="Times New Roman;serif" w:hAnsi="Times New Roman;serif"/>
          <w:b w:val="false"/>
          <w:color w:val="000000"/>
          <w:sz w:val="20"/>
        </w:rPr>
        <w:t>and together with the First Getty Merger, the “</w:t>
      </w:r>
      <w:r>
        <w:rPr>
          <w:rFonts w:ascii="Times New Roman;serif" w:hAnsi="Times New Roman;serif"/>
          <w:b w:val="false"/>
          <w:color w:val="000000"/>
          <w:sz w:val="20"/>
          <w:u w:val="single"/>
        </w:rPr>
        <w:t>Getty Mergers</w:t>
      </w:r>
      <w:r>
        <w:rPr>
          <w:color w:val="000000"/>
        </w:rPr>
        <w:t xml:space="preserve">” </w:t>
      </w:r>
      <w:r>
        <w:rPr>
          <w:rFonts w:ascii="Times New Roman;serif" w:hAnsi="Times New Roman;serif"/>
          <w:b w:val="false"/>
          <w:color w:val="000000"/>
          <w:sz w:val="20"/>
        </w:rPr>
        <w:t>and, together with the Statutory Conversion and the Domestication Merger, the “</w:t>
      </w:r>
      <w:r>
        <w:rPr>
          <w:rFonts w:ascii="Times New Roman;serif" w:hAnsi="Times New Roman;serif"/>
          <w:b w:val="false"/>
          <w:color w:val="000000"/>
          <w:sz w:val="20"/>
          <w:u w:val="single"/>
        </w:rPr>
        <w:t>Business Combination</w:t>
      </w:r>
      <w:r>
        <w:rPr>
          <w:color w:val="000000"/>
        </w:rPr>
        <w:t>”</w:t>
      </w:r>
      <w:r>
        <w:rPr>
          <w:rFonts w:ascii="Times New Roman;serif" w:hAnsi="Times New Roman;serif"/>
          <w:b w:val="false"/>
          <w:color w:val="000000"/>
          <w:sz w:val="20"/>
        </w:rPr>
        <w:t xml:space="preserve">). In connection with the closing of the Business Combination, we changed our name from “Vector Holding, LLC” to “Getty Images Holdings, Inc.”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Legacy Getty was incorporated in Delaware on September 25, 2012, and in October of the same year, indirectly acquired Getty Images, Inc.</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Purpose of the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 are receiving this proxy statement because our Board of Directors is soliciting your proxy to vote your shares of Class A common stock at the 2026 Annual Meeting with respect to the proposals described in this proxy statement. This proxy statement includes information that we are required to provide to you pursuant to the rules and regulations of the SEC and is designed to assist you in voting your shares of Class A common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Proposals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2026 Annual Meeting, our stockholders will be asked: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elect Patrick Maxwell, Jeffrey Titterton and Thomas Walper as Class I Directors to serve until the 2029 Annual Meeting of Stockholders, and until their respective successors are duly elected and qualified;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ratify the appointment of Ernst &amp; Young LLP as our independent registered public accounting firm for the fiscal year ending December 31, 2026.</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our amended and restated certificate of incorporation (the “</w:t>
      </w:r>
      <w:r>
        <w:rPr>
          <w:rFonts w:ascii="Times New Roman;serif" w:hAnsi="Times New Roman;serif"/>
          <w:b w:val="false"/>
          <w:color w:val="000000"/>
          <w:sz w:val="20"/>
          <w:u w:val="single"/>
        </w:rPr>
        <w:t>Charter</w:t>
      </w:r>
      <w:r>
        <w:rPr>
          <w:color w:val="000000"/>
        </w:rPr>
        <w:t>”</w:t>
      </w:r>
      <w:r>
        <w:rPr>
          <w:rFonts w:ascii="Times New Roman;serif" w:hAnsi="Times New Roman;serif"/>
          <w:b w:val="false"/>
          <w:color w:val="000000"/>
          <w:sz w:val="20"/>
        </w:rPr>
        <w:t>) to effect a reverse stock split of our outstanding shares of Class A common stock at a ratio ranging from 1-for-5 to 1-for-20.</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the Getty Images Holdings, Inc. 2022 Equity Incentive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To approve an amendment to the Getty Images Holdings, Inc. 2022 Employee Stock Purchase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know of no other business that will be presented at the 2026 Annual Meeting. If any other matter properly comes before the stockholders for a vote at the 2026 Annual Meeting, however, the proxy holders named on the Company’s proxy card will vote your shares of Class A common stock in accordance with their best judgment.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Recommendations of our Board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recommends that you vote your shares of Class A common stock as indicated below. If you return a properly completed proxy card, or vote your shares by telephone or Internet, your shares of Class A common stock will be voted on your behalf as you direct. If not otherwise specified, the shares of Class A common stock represented by the proxies will be voted, and our Board of Directors recommends that you vote: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election of Patrick Maxwell, Jeffrey Titterton and Thomas Walper as Class I Directors.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ratification of the appointment of Ernst &amp; Young LLP as our independent registered public accounting firm for the fiscal year ending December 31, 2026.</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approval of the amendment to our Charter to effect a reverse stock split of our outstanding shares of Class A common stock at a ratio ranging from 1-for-5 to 1-for-20.</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approval of the first amendment to the Getty Images Holdings, Inc. 2022 Equity Incentive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approval of the first amendment to the Getty Images Holdings, Inc. 2022 Employee Stock Purchase Plan.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any other matter properly comes before the stockholders for a vote at the 2026 Annual Meeting, the proxy holders named on the Company’s proxy card will vote your shares in accordance with their best judgment.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Information About This Proxy Statement</w:t>
      </w:r>
    </w:p>
    <w:p>
      <w:pPr>
        <w:pStyle w:val="TextBody"/>
        <w:bidi w:val="0"/>
        <w:spacing w:lineRule="auto" w:line="288" w:before="160" w:after="283"/>
        <w:ind w:left="0" w:right="0" w:firstLine="450"/>
        <w:jc w:val="both"/>
        <w:rPr/>
      </w:pPr>
      <w:r>
        <w:rPr>
          <w:rFonts w:ascii="Times New Roman;serif" w:hAnsi="Times New Roman;serif"/>
          <w:b/>
          <w:color w:val="000000"/>
          <w:sz w:val="20"/>
        </w:rPr>
        <w:t>Why you received this proxy statement.</w:t>
      </w:r>
      <w:r>
        <w:rPr>
          <w:color w:val="000000"/>
        </w:rPr>
        <w:t xml:space="preserve"> </w:t>
      </w:r>
      <w:r>
        <w:rPr>
          <w:rFonts w:ascii="Times New Roman;serif" w:hAnsi="Times New Roman;serif"/>
          <w:b w:val="false"/>
          <w:color w:val="000000"/>
          <w:sz w:val="20"/>
        </w:rPr>
        <w:t xml:space="preserve">You are viewing or have received these proxy materials because our Board of Directors is soliciting your proxy to vote your shares at the 2026 Annual Meeting. This proxy statement includes information that we are required to provide to you under SEC rules and to assist you in voting your shares. </w:t>
      </w:r>
    </w:p>
    <w:p>
      <w:pPr>
        <w:pStyle w:val="TextBody"/>
        <w:bidi w:val="0"/>
        <w:spacing w:lineRule="auto" w:line="288" w:before="160" w:after="283"/>
        <w:ind w:left="0" w:right="0" w:firstLine="450"/>
        <w:jc w:val="both"/>
        <w:rPr/>
      </w:pPr>
      <w:r>
        <w:rPr>
          <w:rFonts w:ascii="Times New Roman;serif" w:hAnsi="Times New Roman;serif"/>
          <w:b/>
          <w:color w:val="000000"/>
          <w:sz w:val="20"/>
        </w:rPr>
        <w:t xml:space="preserve">Internet Notice. </w:t>
      </w:r>
      <w:r>
        <w:rPr>
          <w:rFonts w:ascii="Times New Roman;serif" w:hAnsi="Times New Roman;serif"/>
          <w:b w:val="false"/>
          <w:color w:val="000000"/>
          <w:sz w:val="20"/>
        </w:rPr>
        <w:t>As permitted by SEC rules, we are making this proxy statement and our 2025 Annual Report available to our stockholders electronically via the Internet. On or about August 28, 2026, we mailed to our stockholders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pStyle w:val="TextBody"/>
        <w:bidi w:val="0"/>
        <w:spacing w:lineRule="auto" w:line="288" w:before="160" w:after="283"/>
        <w:ind w:left="0" w:right="0" w:firstLine="450"/>
        <w:jc w:val="both"/>
        <w:rPr/>
      </w:pPr>
      <w:r>
        <w:rPr>
          <w:rFonts w:ascii="Times New Roman;serif" w:hAnsi="Times New Roman;serif"/>
          <w:b/>
          <w:color w:val="000000"/>
          <w:sz w:val="20"/>
        </w:rPr>
        <w:t>Instructions on how to vote and printed Copies of Our Proxy Materials.</w:t>
      </w:r>
      <w:r>
        <w:rPr>
          <w:color w:val="000000"/>
        </w:rPr>
        <w:t xml:space="preserve"> </w:t>
      </w:r>
      <w:r>
        <w:rPr>
          <w:rFonts w:ascii="Times New Roman;serif" w:hAnsi="Times New Roman;serif"/>
          <w:b w:val="false"/>
          <w:color w:val="000000"/>
          <w:sz w:val="20"/>
        </w:rPr>
        <w:t xml:space="preserve">If you received printed copies of our proxy materials, then instructions regarding how you can vote are contained on the proxy card included in the materials. </w:t>
      </w:r>
    </w:p>
    <w:p>
      <w:pPr>
        <w:pStyle w:val="TextBody"/>
        <w:bidi w:val="0"/>
        <w:spacing w:lineRule="auto" w:line="288" w:before="160" w:after="283"/>
        <w:ind w:left="0" w:right="0" w:firstLine="450"/>
        <w:jc w:val="both"/>
        <w:rPr/>
      </w:pPr>
      <w:r>
        <w:rPr>
          <w:rFonts w:ascii="Times New Roman;serif" w:hAnsi="Times New Roman;serif"/>
          <w:b/>
          <w:color w:val="000000"/>
          <w:sz w:val="20"/>
        </w:rPr>
        <w:t>Householding.</w:t>
      </w:r>
      <w:r>
        <w:rPr>
          <w:color w:val="000000"/>
        </w:rPr>
        <w:t xml:space="preserve"> </w:t>
      </w:r>
      <w:r>
        <w:rPr>
          <w:rFonts w:ascii="Times New Roman;serif" w:hAnsi="Times New Roman;serif"/>
          <w:b w:val="false"/>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stockholders at the shared address to which a single copy of those documents was delivered. If you prefer to receive separate copies of the proxy materials, contact Equiniti Trust Company, LLC at 888-Proxy-NA (888-776-9962) or 201-299-6210 (for international callers), or write to helpAST@equiniti.com, or visit </w:t>
      </w:r>
      <w:r>
        <w:rPr>
          <w:rFonts w:ascii="Times New Roman;serif" w:hAnsi="Times New Roman;serif"/>
          <w:b w:val="false"/>
          <w:i/>
          <w:color w:val="000000"/>
          <w:sz w:val="20"/>
        </w:rPr>
        <w:t>https://us.astfinancial.com/OnlineProxyVoting/ProxyVoting/RequestMaterial</w:t>
      </w:r>
      <w:r>
        <w:rPr>
          <w:rFonts w:ascii="Times New Roman;serif" w:hAnsi="Times New Roman;serif"/>
          <w:b w:val="false"/>
          <w:color w:val="000000"/>
          <w:sz w:val="20"/>
        </w:rPr>
        <w:t xml:space="preser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If you are currently a stockholder sharing an address with another stockholder and wish to receive only one copy of future proxy materials for your household, please contact Equiniti Trust Company, LLC at 888-Proxy-NA (888-776-9962) or 201-299-6210 (for international callers), or write to helpAST@equiniti.com, or visit </w:t>
      </w:r>
      <w:r>
        <w:rPr>
          <w:rFonts w:ascii="Times New Roman;serif" w:hAnsi="Times New Roman;serif"/>
          <w:b w:val="false"/>
          <w:i/>
          <w:color w:val="000000"/>
          <w:sz w:val="20"/>
        </w:rPr>
        <w:t>https://us.astfinancial.com/OnlineProxyVoting/ProxyVoting/RequestMaterials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QUESTIONS AND ANSWERS ABOUT THE 2026 ANNUAL MEETING OF STOCKHOLDERS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Who is entitled to vote at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Record Date for the 2026 Annual Meeting is August 17, 2026. You are entitled to vote at the 2026 Annual Meeting only if you were a stockholder of record at the close of business on that date, or if you hold a valid proxy for the 2026 Annual Meeting. Each outstanding share of Class A common stock is entitled to one vote for all matters before the 2026 Annual Meeting. At the close of business on the Record Date, there were 414,811,306 shares of Class A common stock outstanding and entitled to vote at the 2026 Annual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is the difference between being a “record holder” and holding shares in “street name”?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record holder holds shares in his, her or its name. Shares held in “street name” means shares that are held in the name of a bank or broker on a person’s or entity’s behalf.</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 I entitled to vote if my shares are held in “street name”?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2026 Annual Meeting, you should contact your bank or broker to obtain your 11-digit control number or otherwise vote through the bank or broker.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How many shares must be present to hold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quorum must be present at the 2026 Annual Meeting for any business to be conducted. The presence at the 2026 Annual Meeting of the holders of a majority in voting power of the issued and outstanding Class A common stock and entitled to vote on the Record Date, present in person, electronically or represented by proxy, will constitute a quorum. Abstentions and broker non-votes (defined below) will also be considered present for the purpose of determining whether there is a quorum for the 2026 Annual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Who can attend the 2026 Annual Meeting?</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adopted a virtual format for our 2026 Annual Meeting to provide a consistent experience to all stockholders regardless of location. You may attend and participate in the 2026 Annual Meeting by visiting the following website: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To attend and participate in the 2026 Annual Meeting, you will need the 11-digit control number included on your Internet Notice, on your proxy card or on the instructions that accompanied your proxy materials. If your shares are held in “street name,” you should contact your bank or broker to obtain your 11-digit control number or otherwise vote through the bank or broker. You may also join the 2026 Annual Meeting as a “Guest” but you will not be able to vote, ask questions, or access the list of stockholders as of the Record Date. The meeting webcast will begin promptly at 10:30 a.m. Eastern Time. We encourage you to access the meeting prior to the start time. Online check-in will begin at 9:30 a.m., Eastern Time, and you should allow ample time for the check-in procedures. A technician will be available to address any technical difficulties via a phone number provided on the virtual meeting website listed above.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if a quorum is not present at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quorum is not present at the scheduled time of the 2026 Annual Meeting, (i) the Chairperson of the 2026 Annual Meeting or (ii) a majority in voting power of the stockholders entitled to vote at the 2026 Annual Meeting, present in person, electronically, or represented by proxy, may adjourn the 2026 Annual Meeting until a quorum is present or represented.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does it mean if I receive more than one Internet Notice or more than one set of proxy materials?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160" w:after="283"/>
        <w:ind w:left="0" w:right="0" w:firstLine="450"/>
        <w:jc w:val="both"/>
        <w:rPr/>
      </w:pPr>
      <w:r>
        <w:rPr>
          <w:rFonts w:ascii="Times New Roman;serif" w:hAnsi="Times New Roman;serif"/>
          <w:b w:val="false"/>
          <w:i/>
          <w:color w:val="000000"/>
          <w:sz w:val="20"/>
        </w:rPr>
        <w:t>Stockholders of Record.</w:t>
      </w:r>
      <w:r>
        <w:rPr>
          <w:color w:val="000000"/>
        </w:rPr>
        <w:t xml:space="preserve"> </w:t>
      </w:r>
      <w:r>
        <w:rPr>
          <w:rFonts w:ascii="Times New Roman;serif" w:hAnsi="Times New Roman;serif"/>
          <w:b w:val="false"/>
          <w:color w:val="000000"/>
          <w:sz w:val="20"/>
        </w:rPr>
        <w:t>If you are a stockholder of record, you may vote by:</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Internet — You can vote over the Internet at </w:t>
      </w:r>
      <w:r>
        <w:rPr>
          <w:rFonts w:ascii="Times New Roman;serif" w:hAnsi="Times New Roman;serif"/>
          <w:b w:val="false"/>
          <w:i/>
          <w:color w:val="000000"/>
          <w:sz w:val="20"/>
        </w:rPr>
        <w:t>www.voteproxy.com</w:t>
      </w:r>
      <w:r>
        <w:rPr>
          <w:color w:val="000000"/>
        </w:rPr>
        <w:t xml:space="preserve"> </w:t>
      </w:r>
      <w:r>
        <w:rPr>
          <w:rFonts w:ascii="Times New Roman;serif" w:hAnsi="Times New Roman;serif"/>
          <w:b w:val="false"/>
          <w:color w:val="000000"/>
          <w:sz w:val="20"/>
        </w:rPr>
        <w:t>by following the instructions on the Internet Notice or proxy card;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Telephone — You can vote by telephone by calling 1-800-PROXIES (1-800-776-9437) and following the instructions on the Internet Notice or proxy card;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Mail — You can vote by mail by signing, dating and mailing the proxy card, which you may have received by mail; or</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Electronically at the Meeting — If you attend the meeting online, you will need the 11-digit control number included on your Internet Notice, on your proxy card or on the instructions that accompanied your proxy materials to vote electronically during the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Internet and telephone voting facilities for stockholders of record will be available 24 hours a day and will close at 11:59 p.m., Eastern Time, on October 7, 2026. To participate in the 2026 Annual Meeting, including to vote via the Internet or telephone, you will need the 11-digit control number included on your Internet Notice, on your proxy card or on the instructions that accompanied your proxy materials.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Whether or not you expect to attend the 2026 Annual Meeting online, we urge you to vote your shares as promptly as possible to ensure your representation and the presence of a quorum at the 2026 Annual Meeting. If you submit your proxy, you may still decide to attend the 2026 Annual Meeting and vote your shares electronically.</w:t>
      </w:r>
    </w:p>
    <w:p>
      <w:pPr>
        <w:pStyle w:val="TextBody"/>
        <w:bidi w:val="0"/>
        <w:spacing w:lineRule="auto" w:line="288" w:before="160" w:after="283"/>
        <w:ind w:left="0" w:right="0" w:firstLine="450"/>
        <w:jc w:val="both"/>
        <w:rPr/>
      </w:pPr>
      <w:r>
        <w:rPr>
          <w:rFonts w:ascii="Times New Roman;serif" w:hAnsi="Times New Roman;serif"/>
          <w:b w:val="false"/>
          <w:i/>
          <w:color w:val="000000"/>
          <w:sz w:val="20"/>
        </w:rPr>
        <w:t>Beneficial Owners of Shares Held in “Street Name.”</w:t>
      </w:r>
      <w:r>
        <w:rPr>
          <w:color w:val="000000"/>
        </w:rPr>
        <w:t xml:space="preserve"> </w:t>
      </w:r>
      <w:r>
        <w:rPr>
          <w:rFonts w:ascii="Times New Roman;serif" w:hAnsi="Times New Roman;serif"/>
          <w:b w:val="false"/>
          <w:color w:val="000000"/>
          <w:sz w:val="20"/>
        </w:rPr>
        <w:t>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2026 Annual Meeting, you should contact your bank or broker to obtain your 11-digit control number or otherwise vote through the bank or broker. If you lose your 11-digit control number, you may join the 2026 Annual Meeting as a “Guest” but you will not be able to vote, ask questions or access the list of stockholders as of the Record Date. You will need to obtain your own Internet access if you choose to attend the 2026 Annual Meeting online and/or vote over the Internet.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Can I change my vote after I submit my proxy?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you are a registered stockholder, you may revoke your proxy and change your vote: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submitting a duly executed proxy bearing a later date;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granting a subsequent proxy through the Internet or telephone;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giving written notice of revocation to the Corporate Secretary of Getty Images prior to or at the 2026 Annual Meeting; or</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voting online at the 2026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Your most recent proxy card or Internet or telephone proxy is the one that is counted. Your attendance at the 2026 Annual Meeting by itself will not revoke your proxy unless you give written notice of revocation to the Corporate Secretary before your proxy is voted or you vote online at the 2026 Annual Meeting.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in street name, you may change or revoke your voting instructions by following the specific directions provided to you by your bank or broker, or you may vote online at the Annual Meeting using your 11-digit control number or otherwise voting through your bank or broker.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Who will count the votes?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representative of Equiniti Trust Company, LLC, our inspector of election, will tabulate and certify the votes.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What if I do not specify how my shares are to be voted?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you submit a proxy but do not indicate any voting instructions, the persons named as proxies will vote in accordance with the recommendations of our Board of Directors. Our Board of Directors’ recommendations are indicated on page 4 of this proxy statement, as well as with the description of each proposal in this proxy statement.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Will any other business be conducted at the 2026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know of no other business that will be presented at the 2026 Annual Meeting. If any other matter properly comes before the stockholders for a vote at the 2026 Annual Meeting, however, the proxy holders named on the Company’s proxy card will vote your shares in accordance with their best judgment.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Why hold a virtual meeting?</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adopted a virtual format for our 2026 Annual Meeting to provide a consistent experience to all stockholders regardless of location. You will therefore be able to attend the 2026 Annual Meeting online and submit your questions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You also will be able to vote your shares electronically at the 2026 Annual Meeting by following the instructions provided in the proxy materials.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if during the check-in time or during the 2026 Annual Meeting I have technical difficulties or trouble accessing the virtual meeting website?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will have technicians ready to assist you with any technical difficulties you may have accessing the virtual meeting website, and the information for assistance will be located on the log-in page. </w:t>
      </w:r>
    </w:p>
    <w:p>
      <w:pPr>
        <w:pStyle w:val="TextBody"/>
        <w:bidi w:val="0"/>
        <w:spacing w:lineRule="auto" w:line="288" w:before="240" w:after="283"/>
        <w:jc w:val="both"/>
        <w:rPr/>
      </w:pPr>
      <w:r>
        <w:rPr>
          <w:rFonts w:ascii="Times New Roman;serif" w:hAnsi="Times New Roman;serif"/>
          <w:b/>
          <w:color w:val="000000"/>
          <w:sz w:val="20"/>
        </w:rPr>
        <w:t>Will there be a question and answer session during the 2026 Annual Meeting?</w:t>
      </w:r>
      <w:r>
        <w:rPr>
          <w:color w:val="000000"/>
        </w:rPr>
        <w:t xml:space="preserve">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As part of the 2026 Annual Meeting, we will hold a live Q&amp;A session, during which we intend to answer questions submitted online during or prior to the meeting that are pertinent to the Company and the meeting matters, as time permits. Only stockholders that have accessed the 2026 Annual Meeting as a stockholder by following the procedures outlined above in “</w:t>
      </w:r>
      <w:r>
        <w:rPr>
          <w:rFonts w:ascii="Times New Roman;serif" w:hAnsi="Times New Roman;serif"/>
          <w:b w:val="false"/>
          <w:i/>
          <w:color w:val="000000"/>
          <w:sz w:val="20"/>
        </w:rPr>
        <w:t>Who can attend the 2026 Annual Meeting?</w:t>
      </w:r>
      <w:r>
        <w:rPr>
          <w:color w:val="000000"/>
        </w:rPr>
        <w:t xml:space="preserve">” </w:t>
      </w:r>
      <w:r>
        <w:rPr>
          <w:rFonts w:ascii="Times New Roman;serif" w:hAnsi="Times New Roman;serif"/>
          <w:b w:val="false"/>
          <w:color w:val="000000"/>
          <w:sz w:val="20"/>
        </w:rPr>
        <w:t>will be permitted to submit questions during the 2026 Annual Meeting. Questions regarding personal matters, including those related to employment, product or service issues, or suggestions for product innovations, are not pertinent to meeting matters and therefore will not be answered. Substantially similar questions will be answered only once due to time constraints.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How many votes are required for the approval of the proposals to be voted upon and how will votes withheld, abstentions and broker non-votes be treated?</w:t>
      </w:r>
    </w:p>
    <w:tbl>
      <w:tblPr>
        <w:tblW w:w="10205" w:type="dxa"/>
        <w:jc w:val="left"/>
        <w:tblInd w:w="0" w:type="dxa"/>
        <w:tblLayout w:type="fixed"/>
        <w:tblCellMar>
          <w:top w:w="28" w:type="dxa"/>
          <w:left w:w="28" w:type="dxa"/>
          <w:bottom w:w="28" w:type="dxa"/>
          <w:right w:w="28" w:type="dxa"/>
        </w:tblCellMar>
      </w:tblPr>
      <w:tblGrid>
        <w:gridCol w:w="868"/>
        <w:gridCol w:w="517"/>
        <w:gridCol w:w="521"/>
        <w:gridCol w:w="109"/>
        <w:gridCol w:w="109"/>
        <w:gridCol w:w="109"/>
        <w:gridCol w:w="1406"/>
        <w:gridCol w:w="1354"/>
        <w:gridCol w:w="1225"/>
        <w:gridCol w:w="109"/>
        <w:gridCol w:w="109"/>
        <w:gridCol w:w="109"/>
        <w:gridCol w:w="442"/>
        <w:gridCol w:w="442"/>
        <w:gridCol w:w="326"/>
        <w:gridCol w:w="109"/>
        <w:gridCol w:w="109"/>
        <w:gridCol w:w="109"/>
        <w:gridCol w:w="752"/>
        <w:gridCol w:w="564"/>
        <w:gridCol w:w="807"/>
      </w:tblGrid>
      <w:tr>
        <w:trPr/>
        <w:tc>
          <w:tcPr>
            <w:tcW w:w="8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Proposal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Votes required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Voting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 of Votes Withheld /</w:t>
              <w:br/>
              <w:t>Abstentions and Broker</w:t>
              <w:br/>
              <w:t xml:space="preserve">Non-Votes </w:t>
            </w:r>
          </w:p>
        </w:tc>
      </w:tr>
      <w:tr>
        <w:trPr/>
        <w:tc>
          <w:tcPr>
            <w:tcW w:w="1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1</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Election of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plurality of the votes cast by the holders of our Class A common stock present in person, electronically or represented by proxy at the 2026 Annual Meeting and entitled to vote on the election of such directors. This means that the three nominees receiving the highest number of affirmative “FOR” votes will be elected as Class I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 ALL”</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WITHHOLD ALL”</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FOR ALL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Votes withheld and broker non-votes will have no effect. </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Ratification of Appointment of Independent Registered Public Accounting Firm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affirmative vote of the holders of a majority of the votes cast of our Class A 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no effect. We do not expect any broker non-votes on this proposal.</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3</w:t>
            </w:r>
            <w:r>
              <w:rPr>
                <w:rFonts w:ascii="Times New Roman;serif" w:hAnsi="Times New Roman;serif"/>
                <w:b/>
                <w:color w:val="000000"/>
                <w:sz w:val="20"/>
              </w:rPr>
              <w:t xml:space="preserve">: </w:t>
            </w:r>
            <w:r>
              <w:rPr>
                <w:rFonts w:ascii="Times New Roman;serif" w:hAnsi="Times New Roman;serif"/>
                <w:b w:val="false"/>
                <w:color w:val="000000"/>
                <w:sz w:val="20"/>
              </w:rPr>
              <w:t>Approval of Amendment to Charter to Effect Reverse Stock Split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outstanding shares of our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same effect as a vote “AGAINST.” We do not expect any broker non-votes on this proposal.</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4:</w:t>
            </w:r>
            <w:r>
              <w:rPr>
                <w:color w:val="000000"/>
              </w:rPr>
              <w:t xml:space="preserve"> </w:t>
            </w:r>
            <w:r>
              <w:rPr>
                <w:rFonts w:ascii="Times New Roman;serif" w:hAnsi="Times New Roman;serif"/>
                <w:b w:val="false"/>
                <w:color w:val="000000"/>
                <w:sz w:val="20"/>
              </w:rPr>
              <w:t>Approval of First Amendment to 2022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votes cast of our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Abstentions and broker non-votes will have no effect. </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5:</w:t>
            </w:r>
            <w:r>
              <w:rPr>
                <w:color w:val="000000"/>
              </w:rPr>
              <w:t xml:space="preserve"> </w:t>
            </w:r>
            <w:r>
              <w:rPr>
                <w:rFonts w:ascii="Times New Roman;serif" w:hAnsi="Times New Roman;serif"/>
                <w:b w:val="false"/>
                <w:color w:val="000000"/>
                <w:sz w:val="20"/>
              </w:rPr>
              <w:t>Approval of First Amendment to 2022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votes cast of our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Abstentions and broker non-votes will have no effect. </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is a “vote withheld” and an “abstention” and how will votes withheld and abstentions be treated?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“vote withheld,” in the case of the election of directors, or an “abstention,” in the case of proposals 2 through 5, represents a stockholder’s affirmative choice to decline to vote on a proposal. Votes withheld and abstentions are counted as present and entitled to vote for purposes of determining a quorum. Votes withheld have no effect on the election of directors. For proposals 2, 4 and 5, abstentions are not considered to be votes cast and, accordingly, will have no effect on the proposals. For proposal 3, abstentions will have the same effect as a vote against this proposal.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are broker non-votes and do they count for determining a quorum?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without instructions from the beneficial owner of those shares. On the other hand, absent instructions from the beneficial owner of such shares, a broker is not entitled to vote shares held for a beneficial owner on non-routine matters. Under NYSE rules, the ratification of the appointment of Ernst &amp; Young LLP as our independent registered public accounting firm (proposal 2) and the approval of an amendment to our Charter to effect the reverse stock split (proposal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are considered routine matters, and a broker will be permitted to exercise its discretion to vote uninstructed shares held for a beneficial owner on such proposals.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Broker non-votes will have no effect on the election of directors, approval of the first amendment to our 2022 Equity Incentive Plan (proposal 4) and the approval of the first amendment to our 2022 Employee Stock Purchase Plan (proposal 5). We do not expect any broker non-votes on the proposal to ratify the appointment of Ernst &amp; Young LLP (proposal 2) and the proposal to approve an amendment to our Charter to effect the reverse stock split (proposal 3).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Broker non-votes will count for purposes of determining whether a quorum is present.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Who will pay for the cost of this proxy solicitation?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Where can I find the voting results of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will report the final results in a Current Report on Form 8-K, which we intend to file with the SEC after the 2026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has adopted Corporate Governance Guidelines, a Code of Conduct and Business Ethics, and charters for our Nominating and Corporate Governance Committee, Audit Committee, and Compensation Committee to assist our Board of Directors in the exercise of its responsibilities and to serve as a framework for the effective governance of the Company. You can access our current committee charters and our Code of Conduct and Business Ethics in the “Governance” section of our investor relations page of our website located at </w:t>
      </w:r>
      <w:r>
        <w:rPr>
          <w:rFonts w:ascii="Times New Roman;serif" w:hAnsi="Times New Roman;serif"/>
          <w:b w:val="false"/>
          <w:i/>
          <w:color w:val="000000"/>
          <w:sz w:val="20"/>
        </w:rPr>
        <w:t>https://investors.gettyimages.com/corporate-governance/governance-documents,</w:t>
      </w:r>
      <w:r>
        <w:rPr>
          <w:color w:val="000000"/>
        </w:rPr>
        <w:t xml:space="preserve"> </w:t>
      </w:r>
      <w:r>
        <w:rPr>
          <w:rFonts w:ascii="Times New Roman;serif" w:hAnsi="Times New Roman;serif"/>
          <w:b w:val="false"/>
          <w:color w:val="000000"/>
          <w:sz w:val="20"/>
        </w:rPr>
        <w:t>or by emailing investorrelations@gettyimages.com.</w:t>
      </w:r>
    </w:p>
    <w:p>
      <w:pPr>
        <w:pStyle w:val="TextBody"/>
        <w:bidi w:val="0"/>
        <w:spacing w:lineRule="auto" w:line="288" w:before="160" w:after="283"/>
        <w:jc w:val="both"/>
        <w:rPr/>
      </w:pPr>
      <w:r>
        <w:rPr>
          <w:rFonts w:ascii="Times New Roman;serif" w:hAnsi="Times New Roman;serif"/>
          <w:b/>
          <w:color w:val="000000"/>
          <w:sz w:val="20"/>
        </w:rPr>
        <w:t>Board Composition</w:t>
      </w:r>
      <w:r>
        <w:rPr>
          <w:color w:val="000000"/>
        </w:rPr>
        <w:t xml:space="preserv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affairs are organized under the direction of our Board of Directors. Our Board of Directors currently consists of ten members. The primary responsibilities of our Board of Directors are to provide oversight, strategic guidance, counseling and direction to our management. Our Board of Directors meets on a regular basis and additionally as required.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our Charter, our Board of Directors is divided into three classes, Class I, Class II and Class III, with members of each class serving staggered three-year terms. Currently, our Board of Directors is divided into the following classes: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Class I, which consists of Patrick Maxwell, Jeffrey Titterton and Thomas Walper, whose terms will expire at the 2026 Annual Meeting;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Class II, which consists of Mark Getty, Chinh Chu, Tracy Knox and Brett Watson, whose terms will expire at the Company’s annual meeting of stockholders to be held in 2027;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Class III, which consists of Craig Peters, Elizabeth Abrams and Michael Harris, whose terms will expire at the Company’s annual meeting of stockholders to be held in 2028.</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or until their earlier death, resignation, retirement, disqualification or removal. This classification of our Board of Directors may have the effect of delaying or preventing changes in our control or management.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Further, in connection with the execution of the Business Combination Agreement, CC Neuberger Principal Holdings II Sponsor LLC (the “</w:t>
      </w:r>
      <w:r>
        <w:rPr>
          <w:rFonts w:ascii="Times New Roman;serif" w:hAnsi="Times New Roman;serif"/>
          <w:b w:val="false"/>
          <w:color w:val="000000"/>
          <w:sz w:val="20"/>
          <w:u w:val="single"/>
        </w:rPr>
        <w:t>Sponsor</w:t>
      </w:r>
      <w:r>
        <w:rPr>
          <w:color w:val="000000"/>
        </w:rPr>
        <w:t>”</w:t>
      </w:r>
      <w:r>
        <w:rPr>
          <w:rFonts w:ascii="Times New Roman;serif" w:hAnsi="Times New Roman;serif"/>
          <w:b w:val="false"/>
          <w:color w:val="000000"/>
          <w:sz w:val="20"/>
        </w:rPr>
        <w:t>), the equityholders of the Sponsor, certain equityholders of Legacy Getty and certain other parties thereto entered into the Stockholders Agreement dated December 9, 2021 (the “</w:t>
      </w:r>
      <w:r>
        <w:rPr>
          <w:rFonts w:ascii="Times New Roman;serif" w:hAnsi="Times New Roman;serif"/>
          <w:b w:val="false"/>
          <w:color w:val="000000"/>
          <w:sz w:val="20"/>
          <w:u w:val="single"/>
        </w:rPr>
        <w:t>Stockholders Agreement</w:t>
      </w:r>
      <w:r>
        <w:rPr>
          <w:color w:val="000000"/>
        </w:rPr>
        <w:t>”</w:t>
      </w:r>
      <w:r>
        <w:rPr>
          <w:rFonts w:ascii="Times New Roman;serif" w:hAnsi="Times New Roman;serif"/>
          <w:b w:val="false"/>
          <w:color w:val="000000"/>
          <w:sz w:val="20"/>
        </w:rPr>
        <w:t>) with Getty Images (then Vector Holding, LLC), pursuant to which, among other things, our Board of Directors consists of (i) three directors nominated by Getty Investments LLC (“</w:t>
      </w:r>
      <w:r>
        <w:rPr>
          <w:rFonts w:ascii="Times New Roman;serif" w:hAnsi="Times New Roman;serif"/>
          <w:b w:val="false"/>
          <w:color w:val="000000"/>
          <w:sz w:val="20"/>
          <w:u w:val="single"/>
        </w:rPr>
        <w:t>Getty Investments</w:t>
      </w:r>
      <w:r>
        <w:rPr>
          <w:color w:val="000000"/>
        </w:rPr>
        <w:t>”</w:t>
      </w:r>
      <w:r>
        <w:rPr>
          <w:rFonts w:ascii="Times New Roman;serif" w:hAnsi="Times New Roman;serif"/>
          <w:b w:val="false"/>
          <w:color w:val="000000"/>
          <w:sz w:val="20"/>
        </w:rPr>
        <w:t>), (ii) two directors nominated by Koch Icon Investments, LLC (“</w:t>
      </w:r>
      <w:r>
        <w:rPr>
          <w:rFonts w:ascii="Times New Roman;serif" w:hAnsi="Times New Roman;serif"/>
          <w:b w:val="false"/>
          <w:color w:val="000000"/>
          <w:sz w:val="20"/>
          <w:u w:val="single"/>
        </w:rPr>
        <w:t>Koch Icon</w:t>
      </w:r>
      <w:r>
        <w:rPr>
          <w:color w:val="000000"/>
        </w:rPr>
        <w:t>”</w:t>
      </w:r>
      <w:r>
        <w:rPr>
          <w:rFonts w:ascii="Times New Roman;serif" w:hAnsi="Times New Roman;serif"/>
          <w:b w:val="false"/>
          <w:color w:val="000000"/>
          <w:sz w:val="20"/>
        </w:rPr>
        <w:t>), (iii) one director nominated by CC Capital Partners, LLC (“</w:t>
      </w:r>
      <w:r>
        <w:rPr>
          <w:rFonts w:ascii="Times New Roman;serif" w:hAnsi="Times New Roman;serif"/>
          <w:b w:val="false"/>
          <w:color w:val="000000"/>
          <w:sz w:val="20"/>
          <w:u w:val="single"/>
        </w:rPr>
        <w:t>CC Capital</w:t>
      </w:r>
      <w:r>
        <w:rPr>
          <w:color w:val="000000"/>
        </w:rPr>
        <w:t>”</w:t>
      </w:r>
      <w:r>
        <w:rPr>
          <w:rFonts w:ascii="Times New Roman;serif" w:hAnsi="Times New Roman;serif"/>
          <w:b w:val="false"/>
          <w:color w:val="000000"/>
          <w:sz w:val="20"/>
        </w:rPr>
        <w:t>), (iv) the chief executive officer of Getty Images and (v) a number of independent directors sufficient to comply with the requisite independence requirements of the NYSE and the rules and regulations of the SEC. The number of nominees that each of Getty Investments, Koch Icon and CC Capital will continue to be entitled to nominate pursuant to the Stockholders Agreement is subject to reduction based on the aggregate number of shares of Class A common stock held by such stockholders (together with their successors and any permitted transferees), as follows: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so long as (i) the Getty Family Stockholders (as defined below in “</w:t>
      </w:r>
      <w:r>
        <w:rPr>
          <w:rFonts w:ascii="Times New Roman;serif" w:hAnsi="Times New Roman;serif"/>
          <w:b w:val="false"/>
          <w:i/>
          <w:color w:val="000000"/>
          <w:sz w:val="20"/>
        </w:rPr>
        <w:t>Security Ownership of Certain Beneficial Owners and Management</w:t>
      </w:r>
      <w:r>
        <w:rPr>
          <w:color w:val="000000"/>
        </w:rPr>
        <w:t xml:space="preserve">” </w:t>
      </w:r>
      <w:r>
        <w:rPr>
          <w:rFonts w:ascii="Times New Roman;serif" w:hAnsi="Times New Roman;serif"/>
          <w:b w:val="false"/>
          <w:color w:val="000000"/>
          <w:sz w:val="20"/>
        </w:rPr>
        <w:t>below) beneficially own, in the aggregate, at least 52,000,000 shares of Class A common stock, as adjusted for stock splits, stock combinations, and the like (the “</w:t>
      </w:r>
      <w:r>
        <w:rPr>
          <w:rFonts w:ascii="Times New Roman;serif" w:hAnsi="Times New Roman;serif"/>
          <w:b w:val="false"/>
          <w:color w:val="000000"/>
          <w:sz w:val="20"/>
          <w:u w:val="single"/>
        </w:rPr>
        <w:t>Three Director Appointment Threshold</w:t>
      </w:r>
      <w:r>
        <w:rPr>
          <w:color w:val="000000"/>
        </w:rPr>
        <w:t>”</w:t>
      </w:r>
      <w:r>
        <w:rPr>
          <w:rFonts w:ascii="Times New Roman;serif" w:hAnsi="Times New Roman;serif"/>
          <w:b w:val="false"/>
          <w:color w:val="000000"/>
          <w:sz w:val="20"/>
        </w:rPr>
        <w:t>), Getty Investments shall be entitled to nominate three individuals to our Board of Directors, (ii) if the Getty Family Stockholders do not meet the Three Director Appointment Threshold, but the Getty Family Stockholders beneficially own, in the aggregate, at least 26,000,000 shares of Class A common stock, as adjusted for stock splits, stock combinations, and the like (the “</w:t>
      </w:r>
      <w:r>
        <w:rPr>
          <w:rFonts w:ascii="Times New Roman;serif" w:hAnsi="Times New Roman;serif"/>
          <w:b w:val="false"/>
          <w:color w:val="000000"/>
          <w:sz w:val="20"/>
          <w:u w:val="single"/>
        </w:rPr>
        <w:t>Two Director Appointment Threshold</w:t>
      </w:r>
      <w:r>
        <w:rPr>
          <w:color w:val="000000"/>
        </w:rPr>
        <w:t>”</w:t>
      </w:r>
      <w:r>
        <w:rPr>
          <w:rFonts w:ascii="Times New Roman;serif" w:hAnsi="Times New Roman;serif"/>
          <w:b w:val="false"/>
          <w:color w:val="000000"/>
          <w:sz w:val="20"/>
        </w:rPr>
        <w:t xml:space="preserve">), Getty Investments shall be entitled to nominate two individuals to the our Board of Directors, and (iii) the Getty Family Stockholders beneficially own, in the aggregate, fewer than 26,000,000 shares of Class A common stock, as adjusted for stock splits, stock combinations, and the like, but greater than or equal to 5% of the total number of outstanding shares of Class A common stock (but less than a number of shares of Class A common stock that would meet the Two Director Appointment Threshold), Getty Investments shall be entitled to nominate one individual to our Board of Directors. In the event that the Getty Family Stockholders beneficially own, in the aggregate, less than 5%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number of outstanding shares of Class A common stock, Getty Investments will not be entitled to nominate any individual to our Board of Directors pursuant to the Stockholders Agreement.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so long as (i) Koch Icon beneficially owns, in the aggregate, at least 26,000,000 shares of Class A common stock, as adjusted for stock splits, stock combinations, and the like, Koch Icon shall be entitled to nominate two individuals to our Board of Directors and (ii) Koch Icon beneficially owns, in the aggregate, fewer than 26,000,000 shares of Class A common stock, as adjusted for stock splits, stock combinations, and the like, but greater than or equal to 5% of the total number of outstanding shares of Class A common stock, Koch Icon shall be entitled to nominate one individual to our Board of Directors. In the event that Koch Icon beneficially owns, in the aggregate, less than 5% of the total number of outstanding shares of Class A common stock, Koch Icon shall not be entitled to nominate any individual to our Board of Directors pursuant to the Stockholders Agreement.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For so long as the Sponsor beneficially owns, in the aggregate, at least 5,116,000 shares of Class A common stock, as adjusted for stock splits, stock combinations, and the like, CC Capital shall be entitled to nominate one individual to our Board of Directors. In the event that the Sponsor beneficially owns, in the aggregate, fewer than 5,116,000 shares of Class A common stock, as adjusted for stock splits, stock combinations, and the like, CC Capital shall not be entitled to nominate any individual to our Board of Directors pursuant to the Stockholders Agreement.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Please also see the Stockholders Agreement, which is attached as an exhibit to our Annual Report on Form 10-K for the year ended December 31, 2025, filed with the SEC on March 16, 2026 (the “</w:t>
      </w:r>
      <w:r>
        <w:rPr>
          <w:rFonts w:ascii="Times New Roman;serif" w:hAnsi="Times New Roman;serif"/>
          <w:b w:val="false"/>
          <w:color w:val="000000"/>
          <w:sz w:val="20"/>
          <w:u w:val="single"/>
        </w:rPr>
        <w:t>2025 Form 10-K</w:t>
      </w:r>
      <w:r>
        <w:rPr>
          <w:color w:val="000000"/>
        </w:rPr>
        <w:t>”</w:t>
      </w:r>
      <w:r>
        <w:rPr>
          <w:rFonts w:ascii="Times New Roman;serif" w:hAnsi="Times New Roman;serif"/>
          <w:b w:val="false"/>
          <w:color w:val="000000"/>
          <w:sz w:val="20"/>
        </w:rPr>
        <w:t>), for more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As required by the rules of the New York Stock Exchange (“</w:t>
      </w:r>
      <w:r>
        <w:rPr>
          <w:rFonts w:ascii="Times New Roman;serif" w:hAnsi="Times New Roman;serif"/>
          <w:b w:val="false"/>
          <w:color w:val="000000"/>
          <w:sz w:val="20"/>
          <w:u w:val="single"/>
        </w:rPr>
        <w:t>NYSE</w:t>
      </w:r>
      <w:r>
        <w:rPr>
          <w:color w:val="000000"/>
        </w:rPr>
        <w:t>”</w:t>
      </w:r>
      <w:r>
        <w:rPr>
          <w:rFonts w:ascii="Times New Roman;serif" w:hAnsi="Times New Roman;serif"/>
          <w:b w:val="false"/>
          <w:color w:val="000000"/>
          <w:sz w:val="20"/>
        </w:rPr>
        <w:t>), a majority of our Board of Directors is independent. An “independent director” is generally defined under applicable NYSE rules as one who the Board of Directors affirmatively determines has no material relationship with the company, either directly or as an officer, partner or stockholder of a company that has a relationship with the company. Audit committee members must also satisfy the independence criteria set forth in Rule 10A-3 under the Exchange Act, and the listing standards of NYSE.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determined that each of the directors, other than Craig Peters and Mark Getty, qualifies as an “independent director” under applicable SEC and NYSE rules for purposes of serving on our Board of Directors and each committee on which they serve, as applicable. Our Board of Directors also previously determined that each of James Quella and Hilary Schneider, whom served on our Board of Directors until April 1, 2026 and July 20, 2026, respectively, was an “independent director” under applicable SEC and NYSE rules for purposes of serving on our Board of Directors and the committees on which he or she served. In making these determinations, our Board of Directors reviewed and discussed information provided by the directors with regard to each director’s business and personal activities and relationships as they may relate to us and our management.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Director Candidates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is responsible for periodically reviewing with our Board of Directors the appropriate criteria that directors are required to fulfill (including experience, qualifications, attributes, skills and other characteristics) in the context of the current make-up of our Board of Directors and the needs of the board given the circumstances of the Company. In identifying and screening director candidates, the Nominating and Corporate Governance Committee considers whether the candidates fulfill the criteria for directors approved by our Board Directors, including integrity, objectivity, independence, sound judgment, leadership, courage and range of experience (for example, in relation to finance and accounting, strategy, risk management, technical expertise, policy-making, etc.). In addition, the Company recognizes and embraces the benefits of having a board that is composed of a wide range of viewpoints, backgrounds, experiences and perspectives. In evaluating the composition of our Board of Directors, the Nominating and Corporate Governance Committee will consider a mix of viewpoints, backgrounds, experiences and perspectives among other relevant considerations.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values the input of stockholders in identifying director candidates. The Nominating and Corporate Governance Committee considers recommendations for board candidates submitted by stockholders using substantially the same criteria it applies to recommendations from the Committee, directors and members of management. Stockholders may submit recommendations by providing the person’s name and appropriate background and biographical information in writing to the Nominating and Corporate Governance Committee by email at corporate.secretary@gettyimages.com or by mail at c/o General Counsel &amp; Corporate Secretary, Getty Images Holdings, Inc., 605 5th Avenue S. Suite 400, Seattle, WA 98104.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Communications from Interested Parties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Anyone who would like to communicate with, or otherwise make his or her concerns known directly to the chairperson of any of the Audit, Nominating and Corporate Governance, and Compensation Committees or to the non-management or independent directors as a group, may do so by addressing such communications or concerns to Getty Images Holdings, Inc., c/o Corporate Secretary, 605 5th Avenue S. Suite 400, Seattle, WA 98104, who will determine whether to forward such communications to the appropriate party.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its leadership structure, in which the roles of Chair and CEO are separated, best serves our Board’s ability to carry out its roles and responsibilities on behalf of the Company’s stockholders, including its oversight of management, and the Company’s overall corporate governance. We have separated the positions of Chair and CEO in recognition of the differences between the two roles. Separating these positions allows our CEO to focus more directly upon executing on the Company’s strategic objectives and business plan, providing day-to-day leadership and guiding senior management through the implementation of our strategic initiatives. It also allows our non-executive Chair to utilize his time to focus on our long-term strategy, and to set the agenda for board meetings and preside over meetings of the full board.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will periodically review its leadership structure to determine whether it continues to best serve Getty Images and its stockholders.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Role of our Board of Directors in Risk Oversight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is involved in the oversight of risk management related to us and our business. Our Board of Directors accomplishes this oversight both directly and through its Audit Committee,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cybersecurity, our procedures for treatment of complaints regarding internal accounting controls or auditing matters,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In addition, our Board of Directors participates in regular briefings with management on a variety of topics, including cybersecurity and AI, in which risk oversight is an inherent element.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Executive Sessions of Non-Management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provided in the Corporate Governance Guidelines, the non-management directors meet, without management directors or management present on a regularly scheduled basis. The Company holds an executive session including only independent directors at least once per year.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Code of Conduct and Business Ethics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a written Code of Conduct and Business Ethics that applies to our directors, officers and employees, including our principal executive officer, principal financial officer, principal accounting officer, controller, or persons performing similar functions. We have posted a current copy of the Code of Conduct and Business Ethics on our investor relations website, </w:t>
      </w:r>
      <w:r>
        <w:rPr>
          <w:rFonts w:ascii="Times New Roman;serif" w:hAnsi="Times New Roman;serif"/>
          <w:b w:val="false"/>
          <w:i/>
          <w:color w:val="000000"/>
          <w:sz w:val="20"/>
        </w:rPr>
        <w:t>https://investors.gettyimages.com/corporate-governance/governance-documents</w:t>
      </w:r>
      <w:r>
        <w:rPr>
          <w:rFonts w:ascii="Times New Roman;serif" w:hAnsi="Times New Roman;serif"/>
          <w:b w:val="false"/>
          <w:color w:val="000000"/>
          <w:sz w:val="20"/>
        </w:rPr>
        <w:t>. In addition, we intend to post on our website all disclosures that are required by law or the NYSE rules concerning any amendments to, or waivers from, any provision of the Code of Conduct and Business Ethics.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Insider Trading, Anti-Hedging and Anti-Pledging Policies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adopted an Insider Trading Policy, which applies to all of our directors, officers, employees and contractors. The policy prohibits our directors, officers and certain employees in key financial reporting and communication roles and any entities they control from purchasing financial instruments such as puts, calls, prepaid variable forward contracts, equity swaps, collars, and exchange funds, and other financial instruments that are designed to or have the effect of hedging or offsetting any decrease in the market value of our equity securities. Further, the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prohibits our directors, officers and certain employees in key financial reporting and communication roles from pledging, hypothecating, or otherwise encumbering our equity securities as collateral for indebtedness. The policy also governs the purchase, sale, and/or other dispositions of our securities by our directors, officers, employees and contractors. The Company has also adopted a trading policy governing the Company’s repurchase of its own securities. We believe both policies are reasonably designed to promote compliance with insider trading laws, rules and regulations, and applicable NYSE exchange listing standards. Copies of our insider trading policies are filed in an exhibit to our 2025 Form 10-K.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Incentive-Based Compensation Recovery Policy (Clawback)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October 2, 2023, we adopted a clawback policy in accordance with SEC rules and NYSE listing standards, a copy of which is publicly filed with our 2025 Form 10-K.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Attendance by Members of Our Board of Directors at Meetings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there were nine meetings of our Board of Directors. During such time, each director, except for Mr. Chu, attended at least 75% of the aggregate of (i) all meetings of our Board of Directors and (ii) all meetings of the committees on which the director served during the period in which he or she served as a director.</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Under our Corporate Governance Guidelines, which are available on our investor relations website, </w:t>
      </w:r>
      <w:r>
        <w:rPr>
          <w:rFonts w:ascii="Times New Roman;serif" w:hAnsi="Times New Roman;serif"/>
          <w:b w:val="false"/>
          <w:i/>
          <w:color w:val="000000"/>
          <w:sz w:val="20"/>
        </w:rPr>
        <w:t>https://investors.gettyimages.com/corporate-governance/governance-documents</w:t>
      </w:r>
      <w:r>
        <w:rPr>
          <w:rFonts w:ascii="Times New Roman;serif" w:hAnsi="Times New Roman;serif"/>
          <w:b w:val="false"/>
          <w:color w:val="000000"/>
          <w:sz w:val="20"/>
        </w:rPr>
        <w:t>, or by email request to investorrelations@gettyimages.com, a director is expected to regularly attend, and prepare for, meetings of our Board of Directors and its committees including advance review of circulated materials, and active participation in board and committee discussions. We do not maintain a formal policy regarding director attendance at the 2026 Annual Meeting; however, we encourage our directors to attend the 2026 Annual Meeting. All then serving directors, except for two, attended the 2025 Annual Meeting of Stockholders.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Involvement in Certain Legal Proceedings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filing of this proxy statement, there are no legal proceedings, and during the past ten years there have been no legal proceedings, that are material to the ability or integrity of any of our directors, director nominees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COMMITTEES OF OUR BOARD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established three standing committees — Audit, Compensation, and Nominating and Corporate Governance — each of which operates under a written charter that has been approved by our Board of Directors.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members of each committee and each committee Chairperson are as follows:</w:t>
      </w:r>
    </w:p>
    <w:tbl>
      <w:tblPr>
        <w:tblW w:w="6125"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184"/>
        <w:gridCol w:w="184"/>
        <w:gridCol w:w="188"/>
        <w:gridCol w:w="109"/>
        <w:gridCol w:w="109"/>
        <w:gridCol w:w="109"/>
        <w:gridCol w:w="394"/>
        <w:gridCol w:w="394"/>
        <w:gridCol w:w="396"/>
        <w:gridCol w:w="109"/>
        <w:gridCol w:w="109"/>
        <w:gridCol w:w="109"/>
        <w:gridCol w:w="539"/>
        <w:gridCol w:w="539"/>
        <w:gridCol w:w="766"/>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Audit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Nominating and</w:t>
              <w:br/>
              <w:t>Corporate Governance</w:t>
            </w:r>
          </w:p>
        </w:tc>
      </w:tr>
      <w:tr>
        <w:trPr/>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 Getty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Peters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Abrams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Chinh Chu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Harris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Patrick Maxwell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Jeffrey Titterton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Walper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Brett D. Watson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functions of our Audit Committee include, among other things: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evaluating the performance, independence and qualifications of our independent auditors and determining whether to retain our existing independent auditors or engage new independent auditors;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our financial reporting processes and disclosure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and approving the engagement of our independent auditors to perform audit services and any permissible non-audit services;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the quality and adequacy of our internal control policies and procedures, including the responsibilities, budget and staffing of our internal audit function;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with the independent auditors, and internal audit department, if applicable, the annual audit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obtaining and reviewing at least annually a report by the Company’s independent auditors describing the independent auditors’ internal quality control procedures, issues raised by the most recent internal quality-control review and all relationships between the independent auditor and the Company, if any;</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monitoring the rotation of the lead partner of our independent auditor on our engagement team as required by law;</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our annual and quarterly financial statements and reports, including the disclosures contained in </w:t>
      </w:r>
      <w:r>
        <w:rPr>
          <w:rFonts w:ascii="Times New Roman;serif" w:hAnsi="Times New Roman;serif"/>
          <w:b w:val="false"/>
          <w:i/>
          <w:color w:val="000000"/>
          <w:sz w:val="20"/>
        </w:rPr>
        <w:t>Management’s Discussion and Analysis</w:t>
      </w:r>
      <w:r>
        <w:rPr>
          <w:color w:val="000000"/>
        </w:rPr>
        <w:t xml:space="preserve"> </w:t>
      </w:r>
      <w:r>
        <w:rPr>
          <w:rFonts w:ascii="Times New Roman;serif" w:hAnsi="Times New Roman;serif"/>
          <w:b w:val="false"/>
          <w:color w:val="000000"/>
          <w:sz w:val="20"/>
        </w:rPr>
        <w:t>of the Company’s Annual Report on Form 10-K and Quarterly Reports on Form 10-Q and discussing the statements and reports with our independent auditors and management;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with our independent auditors and management significant issues in internal audit reports and responses by management;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with management and our auditors any earnings press releases and other public announcements related to financials;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establishing and overseeing procedures for the receipt, retention and treatment of complaints received by the Company regarding accounting, internal accounting controls or auditing matters;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preparing the report that the SEC requires in our annual proxy statement;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and providing oversight of any related person transactions in accordance with our related person transaction policy and reviewing and monitoring compliance with legal, regulatory and ethical responsibilities;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our major financial risk exposures;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and evaluating on an annual basis the performance of the Audit Committee and the Audit Committee Charter.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Tracy Knox, Elizabeth Abrams and Jeffrey Titterton. Ms. Schneider and Mr. Quella served as members of the Audit Committee until their resignations on July 20, 2026 and April 1, 2026, respectively. Our Board of Directors has determined that each of the members of our Audit Committee, and each of Ms. Schneider and Mr. Quella during his or her tenure, satisfies the independence requirements of the NYSE corporate governance standards and Rule 10A-3 under the Exchange Act and is financially literate (as defined under the rules of the NYSE). In arriving at this determination, our Board of Directors has examined each Audit Committee member’s scope of experience, the nature of their prior and/or current employment and all other factors determined to be relevant under the rules and regulations of the NYSE and the SEC.</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Tracy Knox serves as the chair of our Audit Committee. Our Board of Directors has determined that Ms. Knox qualifies as an audit committee financial expert within the meaning of SEC regulations and meets the financial sophistication requirements of the NYSE rules. In making this determination, our Board of Directors has considered formal education and previous professional experience in financial roles. Both our independent registered public accounting firm and management periodically meet privately with the audit committee members.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delegated the oversight of cybersecurity risks to the Audit Committee. The Audit Committee assists the Board in its oversight of the Company’s policies and practices employed to identify, assess and manage key risks facing Getty Images, including cybersecurity risks. Members of management, including the Company’s Chief Technology Officer, provide the Audit Committee with updates on cybersecurity and information technology matters. In turn, the Audit Committee and management also provide updates to the Board of Directors.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adopted a written charter for our Audit Committee, which is available on our corporate website at </w:t>
      </w:r>
      <w:r>
        <w:rPr>
          <w:rFonts w:ascii="Times New Roman;serif" w:hAnsi="Times New Roman;serif"/>
          <w:b w:val="false"/>
          <w:i/>
          <w:color w:val="000000"/>
          <w:sz w:val="20"/>
        </w:rPr>
        <w:t>https://investors.gettyimages.com/</w:t>
      </w:r>
      <w:r>
        <w:rPr>
          <w:rFonts w:ascii="Times New Roman;serif" w:hAnsi="Times New Roman;serif"/>
          <w:b w:val="false"/>
          <w:color w:val="000000"/>
          <w:sz w:val="20"/>
        </w:rPr>
        <w:t>. The information on any of our websites is deemed not to be incorporated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our Audit Committee met six times and acted by unanimous written consent three times.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Compensation Committee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is responsible for assisting our Board of Directors in the discharge of its responsibilities relating to the compensation of our executive officers. In fulfilling its purpose, our Compensation Committee has the following principal duties: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approving the corporate goals and objectives that pertain to the determination of executive compensation;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approving the compensation and other terms of employment of our executive officers;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making recommendations to our Board of Directors regarding the adoption or amendment of equity and cash incentive plans and approving amendments to such plans to the extent authorized by the board;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making recommendations to our Board of Directors regarding the type and amount of compensation to be paid or awarded to our non-employee board members;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establishing stock ownership guidelines for executive officers and non-employee board members;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assessing the independence of compensation consultants, independent legal counsel and other advisors;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administering our equity incentive plans;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approving the terms of any employment agreements, severance arrangements, transition or consulting agreements, retirement agreements and change-in-control agreements or provisions and any other material arrangements for our executive officers;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approving or recommending for approval the creation or revision of any clawback policy allowing the Company to recoup compensation paid to officers, directors and employees;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with management our disclosures under the caption “Compensation Discussion and Analysis” in our periodic reports or proxy statements to be filed with the SEC, to the extent such caption is included in any such report or proxy statement;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preparing an annual report on executive compensation to be included in our annual proxy statement, to the extent any such report is required to be included in our annual proxy statement;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evaluating on an annual basis the performance of our Compensation Committee and recommending such changes as deemed necessary to our Board of Directors.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Compensation Committee consists of Brett Watson and Chinh Chu. Ms. Schneider served as a member of our Compensation Committee until her resignation on July 20, 2026. Our Board of Directors has determined that each of the members of our Compensation Committee, and Ms. Schneider during her tenure, is a non-employee director, as defined in Rule 16b-3 promulgated under the Exchange Act, and satisfies the independence requirements of the NYSE. Mr. Watson serves as the chair of our Compensation Committee. Our Board of Directors adopted a written charter for the Compensation Committee, which is available on our corporate website at </w:t>
      </w:r>
      <w:r>
        <w:rPr>
          <w:rFonts w:ascii="Times New Roman;serif" w:hAnsi="Times New Roman;serif"/>
          <w:b w:val="false"/>
          <w:i/>
          <w:color w:val="000000"/>
          <w:sz w:val="20"/>
        </w:rPr>
        <w:t>https://investors.gettyimages.com/</w:t>
      </w:r>
      <w:r>
        <w:rPr>
          <w:rFonts w:ascii="Times New Roman;serif" w:hAnsi="Times New Roman;serif"/>
          <w:b w:val="false"/>
          <w:color w:val="000000"/>
          <w:sz w:val="20"/>
        </w:rPr>
        <w:t>. The information on any of our websites is deemed not to be incorporated in this proxy statement.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engaged Compensia, Inc. as our independent consultant. In 2025,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The Compensation Committee reviewed Compensia, Inc.’s independence and determined that there were no conflicts of interest as a result of this engagement.</w:t>
      </w:r>
    </w:p>
    <w:p>
      <w:pPr>
        <w:pStyle w:val="TextBody"/>
        <w:bidi w:val="0"/>
        <w:spacing w:lineRule="auto" w:line="276"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our Compensation Committee met five times and acted by unanimous written consent one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Nominating and Corporate Governance Committee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Committee’s responsibilities include: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identifying, reviewing and making recommendations of candidates to serve on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evaluating the performance of our Board of Directors, committees of the board and individual directors and determining whether continued service on our Board of Directors is appropriate;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evaluating nominations by stockholders of candidates for election to our Board of Directors;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evaluating the current size, composition and governance of our Board of Directors and its committees and making recommendations to the board for approvals;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the leadership structure of our Board of Directors, including the separation of the Chair and Chief Executive Officer roles and/or appointment of a lead independent director of the board;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corporate governance policies and principles and recommending to our Board of Directors any changes to such policies and principles;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issues and developments related to corporate governance;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approving, and monitoring directors’ compliance with our Code of Business Conduct and Ethics;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assisting the Company in fulfilling its corporate responsibility strategy;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periodically the Nominating and Corporate Governance Committee Charter, structure and membership requirements and recommending any proposed changes to our Board of Directors, including undertaking an annual review of its own performance.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Michael Harris and Patrick Maxwell. Our Board of Directors has determined that each of the members of our Nominating and Corporate Governance Committee satisfies the independence requirements of the NYSE and the SEC. Mr. Harris serves as the chair of our Nominating and Corporate Governance Committee.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adopted a written charter for our Nominating and Corporate Governance Committee, which is available on our corporate website at </w:t>
      </w:r>
      <w:r>
        <w:rPr>
          <w:rFonts w:ascii="Times New Roman;serif" w:hAnsi="Times New Roman;serif"/>
          <w:b w:val="false"/>
          <w:i/>
          <w:color w:val="000000"/>
          <w:sz w:val="20"/>
        </w:rPr>
        <w:t>https://investors.gettyimages.com/</w:t>
      </w:r>
      <w:r>
        <w:rPr>
          <w:rFonts w:ascii="Times New Roman;serif" w:hAnsi="Times New Roman;serif"/>
          <w:b w:val="false"/>
          <w:color w:val="000000"/>
          <w:sz w:val="20"/>
        </w:rPr>
        <w:t xml:space="preserve">. The information on any of our websites is deemed not to be incorporated in this proxy statement.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the Nominating and Corporate Governance Committee met one time and acted by unanimous consent one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Board and Committee Self-Evaluations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Company’s Corporate Governance Guidelines, the Board of Directors and its committees conduct annual self-evaluations to assess their effectiveness and identify opportunities for improvement. These evaluations include discussions among directors and committee members regarding board and committee composition and structure, and the effectiveness of board and committee processes, decision making and oversight of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PROPOSAL 1: ELECTION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currently consists of ten directors and is divided into three classes. Each class serves for three years, with the terms of office of the respective classes expiring in successive years. Directors in Class I will stand for election at the 2026 Annual Meeting for a three-year term expiring at the 2029 annual meeting of stockholders. The terms of office of directors in Class II and Class III do not expire until the annual meetings of stockholders held in 2027 and 2028, respectively. At the recommendation of our Nominating and Corporate Governance Committee, our Board of Directors proposes that each of the three Class I nominees named below, each of whom is currently serving as a director in Class I, be elected as a Class I director for a three-year term expiring at the 2029 annual meeting of stockholders and until such director’s successor is duly elected and qualified or until such director’s earlier death, resignation, retirement, disqualification, or removal. Each director will be elected by a plurality of the votes cast by the holders of our Class A common stock present in person, electronically or represented by proxy at the 2026 Annual Meeting and entitled to vote on the election of such directors. This means that the three individuals nominated for election to our Board of Directors at the 2026 Annual Meeting receiving the highest number of affirmative “FOR” votes will be elected as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Corporate Governance Guidelines, any nominee for director in an uncontested election who receives a greater number of votes “WITHHELD” from his or her election than votes “FOR” such election must tender his or her resignation to the Board from the Board and all committees thereof, and the Nominating and Corporate Governance Committee shall assess the appropriateness of such nominee continuing to serve as a director and shall recommend to the Board the action to be taken with respect to such tendered resignation. The Board will act on the Nominating and Corporate Governance Committee’s recommendation and publicly disclose its decision and rationale within 90 days of the publication of the election results. Shares represented by proxies will be voted “FOR” the election of each of the three nominees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three directors. Stockholders may not cumulate votes for the election of directors.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Recommendation of Our Board of Directors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unanimously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of the below Class I Director nominees.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Nominees For Class I Director (subject to re-election, terms to expire at the 2029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members of our Board of Directors who are also nominees for election to our Board of Directors as Class I Directors are as follows:</w:t>
      </w:r>
    </w:p>
    <w:tbl>
      <w:tblPr>
        <w:tblW w:w="5178" w:type="dxa"/>
        <w:jc w:val="left"/>
        <w:tblInd w:w="0" w:type="dxa"/>
        <w:tblLayout w:type="fixed"/>
        <w:tblCellMar>
          <w:top w:w="28" w:type="dxa"/>
          <w:left w:w="28" w:type="dxa"/>
          <w:bottom w:w="28" w:type="dxa"/>
          <w:right w:w="28" w:type="dxa"/>
        </w:tblCellMar>
      </w:tblPr>
      <w:tblGrid>
        <w:gridCol w:w="526"/>
        <w:gridCol w:w="462"/>
        <w:gridCol w:w="467"/>
        <w:gridCol w:w="109"/>
        <w:gridCol w:w="109"/>
        <w:gridCol w:w="109"/>
        <w:gridCol w:w="144"/>
        <w:gridCol w:w="144"/>
        <w:gridCol w:w="146"/>
        <w:gridCol w:w="109"/>
        <w:gridCol w:w="109"/>
        <w:gridCol w:w="109"/>
        <w:gridCol w:w="394"/>
        <w:gridCol w:w="394"/>
        <w:gridCol w:w="396"/>
        <w:gridCol w:w="109"/>
        <w:gridCol w:w="109"/>
        <w:gridCol w:w="109"/>
        <w:gridCol w:w="328"/>
        <w:gridCol w:w="328"/>
        <w:gridCol w:w="468"/>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Served as a</w:t>
              <w:br/>
              <w:t xml:space="preserve">Director Since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 with</w:t>
              <w:br/>
              <w:t>Getty Images</w:t>
            </w:r>
          </w:p>
        </w:tc>
      </w:tr>
      <w:tr>
        <w:trPr/>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Maxwell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Titterton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Walper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at least the past five years, of each Class I Director nominee for election at the 2026 Annual Meeting are as follows:</w:t>
      </w:r>
    </w:p>
    <w:p>
      <w:pPr>
        <w:pStyle w:val="TextBody"/>
        <w:bidi w:val="0"/>
        <w:spacing w:lineRule="auto" w:line="288" w:before="180" w:after="283"/>
        <w:ind w:left="0" w:right="0" w:firstLine="180"/>
        <w:jc w:val="both"/>
        <w:rPr>
          <w:rFonts w:ascii="Times New Roman;serif" w:hAnsi="Times New Roman;serif"/>
          <w:b/>
          <w:color w:val="000000"/>
          <w:sz w:val="20"/>
        </w:rPr>
      </w:pPr>
      <w:r>
        <w:rPr>
          <w:rFonts w:ascii="Times New Roman;serif" w:hAnsi="Times New Roman;serif"/>
          <w:b/>
          <w:color w:val="000000"/>
          <w:sz w:val="20"/>
        </w:rPr>
        <w:t>Patrick Maxwell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Maxwell has served on our Board of Directors since October 2012. Mr. Maxwell has followed a career in private equity investment management since 1991, initially working with the UK-based investment bank, Hambros. Amongst other deals he was involved with, Mr. Maxwell led Hambros’ co-investment alongside the Getty family in the founding of Getty Images. Mr. Maxwell also spent four years living and working in South Africa establishing an investment banking business for Hambros in that region. In May 2004, Mr. Maxwell began working with Mark Getty and the Getty family office, Sutton Place. Mr. Maxwell’s primary focus has been to build family wealth via long term business-building investments in the content-based media sector, including Getty Images, the Wisden Cricinfo group, 7 Digital, Hawk-Eye Innovations and Hakluyt &amp; Co. Mr. Maxwell has also been involved in the oversight of Getty family interests in Wormsley Estate (the Getty family’s home and multi-activity rural estate in the UK) and in &amp;Beyond (a South African-based luxury adventure travel and lodging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his board position at Getty Images, Mr. Maxwell has served on the board of directors of &amp;Beyond since July 2007, the Management Committee of the Munywana Conservancy Controllers’ Association since July 2025 and the Board of Trustees of The Africa Foundation Trust since November 2014. Mr. Maxwell was a Trustee of the Royal Ballet School from 2000 to 2011, a Trustee and Investment Committee Chairman of the Henry Smith Charity, a £1 billion UK endowment-based grant-making charity, from 2011 to 2019 and a Director of the UK Tennis &amp; Rackets Association from 2013 to 2018. Mr. Maxwell is a graduate of Oxford University and qualified as a Chartered Accountant with PWC in 1990.</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Maxwell is qualified to serve on our Board of Directors because of his significant investment and financial expertise, and his historical familiarity with our business and his extensive experience in the content-based media sector.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Jeffrey Titterton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Titterton has served on our Board of Directors since November 2022, currently serves as the Chief Marketing Officer of Stripe, Inc., and served as the Chief Operating Officer of Zendesk Inc. from April 2021 until November 2022. He previously served as Zendesk Inc.’s Chief Marketing Officer from October 2018 until April 2021 and its Senior Vice President, Marketing from May 2017 to October 2018. From January 2017 to May 2017, Mr. Titterton served as the Head of Global Campaign and Engagement Marketing for Adobe Inc., a software company, and as Head of Engagement Marketing, Creative Cloud, from August 2013 to January 2017. Prior to that, Mr. Titterton served as the Chief Marketing Officer for 99designs, a graphic design marketplace, from August 2011 to August 2013.</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Titterton holds a B.A. degree in English with a concentration in economics from Cornell University.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Titterton is qualified to serve on our Board of Directors because of his comprehensive public company experience and his extensive knowledge of ecommerce.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Thomas Walper</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Walper was recommended for consideration to our Board of Directors by a third party advisor, vetted by our Nominating and Governance Committee and subsequently appointed to our Board of Directors on July 20, 2026. Mr. Walper has served as the President of Walper Advisory Inc. since March 2026, and previously spent nearly 30 years as a partner at Munger, Tolles &amp; Olson LLP until March 2025. Mr. Walper also served as Head of Corporate Restructuring at Plainfield Asset Management; a hedge fund focused on distressed and opportunity investments. Mr. Walper is an accomplished executive, attorney, and board director with more than 40 years of experience guiding companies and creditors through complex financial restructurings and strategic transformations.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retiring from legal practice in 2025, Mr. Walper served on the board of 23andMe (formerly Nasdaq: ME) from March 2025 until December 2025, and has served on the board of subsidiaries of QVC Group Inc. (OTC: QVCAQ, QVCBQ, QVCPQ) since September 2025. Mr. Walper also serves on several private company boards. Mr. Walper is a Fellow of the American College of Bankruptcy and is widely recognized as a leading advisor in bankruptcy and restructuring. Mr. Walper holds a B.S. and M.B.A. from the University of Southern California and a J.D. from Loyola Law School.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Walper is qualified to serve on our Board of Directors because of his experience as a board director.</w:t>
      </w:r>
    </w:p>
    <w:p>
      <w:pPr>
        <w:pStyle w:val="TextBody"/>
        <w:bidi w:val="0"/>
        <w:spacing w:before="0" w:after="0"/>
        <w:jc w:val="left"/>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CONTINUING MEMBERS OF OUR BOARD OF DIRECTORS: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Class II Directors (terms to expire at the 2027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members of our Board of Directors who are Class II Directors are as follows:</w:t>
      </w:r>
    </w:p>
    <w:tbl>
      <w:tblPr>
        <w:tblW w:w="6092"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144"/>
        <w:gridCol w:w="144"/>
        <w:gridCol w:w="146"/>
        <w:gridCol w:w="109"/>
        <w:gridCol w:w="109"/>
        <w:gridCol w:w="109"/>
        <w:gridCol w:w="394"/>
        <w:gridCol w:w="394"/>
        <w:gridCol w:w="396"/>
        <w:gridCol w:w="109"/>
        <w:gridCol w:w="109"/>
        <w:gridCol w:w="109"/>
        <w:gridCol w:w="675"/>
        <w:gridCol w:w="675"/>
        <w:gridCol w:w="959"/>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Served as a </w:t>
              <w:br/>
              <w:t xml:space="preserve">Director Since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Position with </w:t>
              <w:br/>
              <w:t xml:space="preserve">Getty Images </w:t>
            </w:r>
          </w:p>
        </w:tc>
      </w:tr>
      <w:tr>
        <w:trPr/>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Getty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and Chairman</w:t>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Chinh Chu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the past five years, of each Class II Director are as follows: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 Getty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Getty has served as the Chair of our Board of Directors since he co-founded Getty Images in March 1995 and was Executive Chair of Getty Images through 2005. From 2005 to 2018, he was a non-executive director on our Board of Directors and in 2018 resumed the role of Chair of Getty Images by the Getty Family Stockholders. In the late 1980s, Mr. Getty began his professional career with Kidder Peabody in New York and then joined Hambros Bank Limited in London in 1991.</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his capacity as Trustee and Director of various Getty family entities, Mr. Getty oversees a diverse program of investments in all asset classes. In addition, he has been particularly involved in the family’s direct private equity investment activities, which have included: Wisden Crincinfo, a leading online publisher of cricket data; Hawk-Eye, a sports technology business that is a leader in ball tracking for officiating and broadcast enhancement in tennis, soccer and cricket; Hakluyt, a UK-based provider of commercial and strategic intelligence and research services to major corporate and financial institutions; and &amp;Beyond Group, a leading luxury adventure travel and lodging business in Africa, where Mr. Getty also acts as the Co-Chairman.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Getty was a trustee of the National Gallery in London between 1999 and 2015, as well as its Chair between 2008 and 2015. He was appointed KBE in 2016 in recognition of his services to the Arts. Mr. Getty also served as Chair of Trustees of the British School in Rome from 2017 to 2026.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Getty is qualified to serve on our Board of Directors because of his historical familiarity with our business and his extensive experience in supporting the growth of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Chinh Chu</w:t>
      </w:r>
    </w:p>
    <w:p>
      <w:pPr>
        <w:pStyle w:val="TextBody"/>
        <w:bidi w:val="0"/>
        <w:spacing w:lineRule="auto" w:line="276"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Chu has served as a director on our Board of Directors since the Closing Date and previously served as Chief Executive Officer and Director of CCNB from May 2020 through the Closing Date. He is the Founder and Senior Managing Director of CC Capital, a private investment firm focused on investing in and operating high-quality businesses for the long term. In May 2025, he was appointed President of M-3 Brigade Acquisition V Corp. (NASDAQ: MBAV), which then announced a business combination agreement with ReserveOne, Inc., a first-of-its-kind digital asset management firm. He led CC Capital’s incubation of Ceres Life Insurance Company, an annuity platform, and the platform’s combination with Westaim and Arena Investors, LP to create an integrated insurance and asset management platform.</w:t>
      </w:r>
    </w:p>
    <w:p>
      <w:pPr>
        <w:pStyle w:val="TextBody"/>
        <w:bidi w:val="0"/>
        <w:spacing w:lineRule="auto" w:line="276"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founding CC Capital in 2015, Mr. Chu has also spearheaded the firm’s investments in Wilshire, Utz Brands, Inc. (NYSE: UTZ), E2open Parent Holdings, Inc. (NYSE: ETWO), and Dun &amp; Bradstreet Corporation (NYSE: DNB), which CC Capital took private in a $7.2 billion acquisition that closed in February 2019 before its subsequent IPO in July 2020. Prior to founding CC Capital, Mr. Chu spent 25 years at Blackstone, where he served as Senior Managing Director, Co-Head of Private Equity, and a member of the firm’s Executive Committee.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Chu is currently Executive Chair of the Board of The Westaim Corporation (TSXV: WED). Mr. Chu has previously served on the boards of numerous public and private companies, including serving as Chairman of the Board of E2 Open and as a Director of Dun &amp; Bradstreet until August 2025, and as Vice Chairman of Collier Creek Holdings (NYSE: CCH) until August 2020, when it consummated the acquisition of Utz Brands Holdings, LLC, the parent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of Utz Quality Foods, LLC to form Utz Brands (NYSE: UTZ). Mr. Chu began his career at Salomon Brothers in the M&amp;A group and holds a B.S. in Finance from the University of Buffalo.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Chu is qualified to serve on our Board of Directors because of his substantial experience in mergers and acquisitions, corporate finance and strategic business planning; his track record at CC Capital and Blackstone and in advising and managing multi-national companies; and his experience serving as a director for various public and private companies.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Tracy Knox</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Ms. Knox has served as a director on our Board of Directors since April 10, 2024, and she previously served as the Chief Financial Officer of Rover Group, Inc., the world’s largest online marketplace for pet care from 2017 through its public listing and SPAC merger in 2021, eventually retiring at the end of 2022. Prior to that, Ms. Knox served as Chief Financial Officer of Rightside, a leading domain name service company from its public listing in 2014 until its sale in 2017, as Chief Financial Officer at A Place for Mom from 2013 until 2014, as Chief Financial Officer at UIEvolution from 2011 until 2013, and at drugstore.com from 2003, including as Chief Finance Officer from 2008 until 2011. </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Ms. Knox also serves on the boards of Babylist since 2021, Pet Partners since 2023, and JumpCloud since 2026. Ms. Knox holds a B.S. in Accounting from Indiana University and a M.B.A. with honors from University of Washington.</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Ms. Knox is qualified to serve on our Board of Directors because of her financial acumen and public company experience.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Brett Watson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Watson has served on our Board of Directors since February 2019. Since January 1, 2026, Mr. Watson has served as President of Koch Equity, overseeing Koch Equity Development, Koch Disruptive Technologies, and Koch Real Estate Investments. During the preceding five years, Mr. Watson served as President of Koch Equity Development. Mr. Watson also has served as Vice President, Equity Development of Koch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Watson has more than 20 years of financial and executive experience, as well as broad public and private board and committee experience. Mr. Watson currently serves as a director of the parent companies of Infor, Transaction Network Services, MITER Brands, Octave Intelligence plc (Nasdaq: OCTV) and Molex. He serves as a member of the Compensation Committee of MITER Brands, and as a member of the Nomination Committee of Hexagon AB (Nasdaq Stockholm: HEXA-B). He formerly served on the boards of directors of Hexagon AB, ADT Inc. (NYSE: ADT), Solera Holdings Inc., Globus, and the Flint Group. Mr. Watson holds a B.S. and a M.B.A. from Binghamton University.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Watson is qualified to serve on our Board of Directors due to his extensive financial and executive leadership experience, as well as his significant public and private company board experience.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Class III Directors (terms to expire at the 2028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members of our Board of Directors who are Class III Directors are as follows:</w:t>
      </w:r>
    </w:p>
    <w:tbl>
      <w:tblPr>
        <w:tblW w:w="7128" w:type="dxa"/>
        <w:jc w:val="left"/>
        <w:tblInd w:w="0" w:type="dxa"/>
        <w:tblLayout w:type="fixed"/>
        <w:tblCellMar>
          <w:top w:w="28" w:type="dxa"/>
          <w:left w:w="28" w:type="dxa"/>
          <w:bottom w:w="28" w:type="dxa"/>
          <w:right w:w="28" w:type="dxa"/>
        </w:tblCellMar>
      </w:tblPr>
      <w:tblGrid>
        <w:gridCol w:w="563"/>
        <w:gridCol w:w="496"/>
        <w:gridCol w:w="500"/>
        <w:gridCol w:w="109"/>
        <w:gridCol w:w="109"/>
        <w:gridCol w:w="109"/>
        <w:gridCol w:w="144"/>
        <w:gridCol w:w="144"/>
        <w:gridCol w:w="146"/>
        <w:gridCol w:w="109"/>
        <w:gridCol w:w="109"/>
        <w:gridCol w:w="109"/>
        <w:gridCol w:w="379"/>
        <w:gridCol w:w="379"/>
        <w:gridCol w:w="381"/>
        <w:gridCol w:w="109"/>
        <w:gridCol w:w="109"/>
        <w:gridCol w:w="109"/>
        <w:gridCol w:w="880"/>
        <w:gridCol w:w="880"/>
        <w:gridCol w:w="1255"/>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Served as a</w:t>
              <w:b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 with</w:t>
              <w:br/>
              <w:t>Getty Images</w:t>
            </w:r>
          </w:p>
        </w:tc>
      </w:tr>
      <w:tr>
        <w:trPr/>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Craig Peters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&amp; Director </w:t>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Abrams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at least the past five years, of each Class III Director are as follows:</w:t>
      </w:r>
    </w:p>
    <w:p>
      <w:pPr>
        <w:pStyle w:val="TextBody"/>
        <w:bidi w:val="0"/>
        <w:spacing w:lineRule="auto" w:line="288" w:before="160" w:after="283"/>
        <w:ind w:left="0" w:right="0" w:firstLine="180"/>
        <w:jc w:val="both"/>
        <w:rPr>
          <w:rFonts w:ascii="Times New Roman;serif" w:hAnsi="Times New Roman;serif"/>
          <w:b/>
          <w:color w:val="000000"/>
          <w:sz w:val="20"/>
        </w:rPr>
      </w:pPr>
      <w:r>
        <w:rPr>
          <w:rFonts w:ascii="Times New Roman;serif" w:hAnsi="Times New Roman;serif"/>
          <w:b/>
          <w:color w:val="000000"/>
          <w:sz w:val="20"/>
        </w:rPr>
        <w:t>Craig Peters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Craig Peters has served as our Chief Executive Officer and a director since 2019. As CEO, Mr. Peters has overarching responsibility for the organization across its Getty Images, iStock and Unsplash brands. Mr. Peters joined Getty Images in 2007 and prior to being appointed CEO in 2019, he served as Chief Operating Officer with previous leadership roles across Content, Product, Marketing, Technology and Business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Prior to joining Getty Images, Mr. Peters held key leadership roles in media and technology within established and early stage organizations. These included WireImage (acquired by Getty Images), FOX Sports Interactive, the PGA TOUR, Homestead.com (acquired by Intuit) and positions with A.T. Kearney and Eastman Kodak Company. In 2005 while at the PGA TOUR, Craig accepted an Emmy by the National Television Academy for Outstanding Achievement in Advanced Media Technology for the Enhancement of Original Television Content. Mr. Peters holds an M.B.A. from The Wharton School of Business and a B.S. in Finance from The Ohio State University.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Peters is qualified to serve on our Board of Directors because of the perspective and experience he brings as our Chief Executive Officer.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Elizabeth Abrams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Ms. Abrams was recommended for consideration to our Board of Directors by a third party advisor, vetted by our Nominating and Governance Committee and subsequently appointed to our Board of Directors on July 20, 2026, and has served as the Founder and Managing Member of Spruce Brook Partners, an independent firm providing corporate governance services, since April 2023. Ms. Abrams has served on the board of Cumulus Media (OTC: CMLSQ) since March 2026, and served on the board of Luminar Technologies (OTC: LAZRQ) from November 2025 until April 2026. Ms. Abrams also serves as a director and fiduciary for private companies and not-for-profit organizations. Ms. Abrams has spent her career in corporate finance, working with boards, investors, and management teams to develop strategies to navigate transformational change.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Ms. Abrams spent most of her career as an investment banker, most recently as a Senior Managing Director at Guggenheim Securities until 2021, and prior to that with Millstein &amp; Co. and Miller Buckfire. Ms. Abrams also previously served as the chief financial officer of K Health Inc. from 2021 to 2022.</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Ms. Abrams received a Bachelor of Science degree and a Bachelor of Applied Science degree from the University of Pennsylvania Management and Technology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Ms. Abrams is qualified to serve on our Board of Directors because of her experience as a board director.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Michael Harris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Harris has served on our Board of Directors since February 2019. Since 2024, Mr. Harris has also served as a Senior Managing Director of Koch Equity Development, where he has been employed since October 2013. Mr. Harris is responsible for the origination, evaluation and execution of acquisitions and investments for Koch, Inc. In this capacity, he evaluates opportunities across industries with specific expertise in the software, technology, aerospace and defense, and industrial manufacturing sectors. Prior to joining Koch, Mr. Harris has worked for Bank of America Merrill Lynch advising clients on mergers and acquisitions, capital deployment and structured equity capital alternatives from 2011 to 2013. He has also previously worked at Orbital Sciences Corporation as a mechanical engineer in their Launch Systems group from 2005 to 2011.</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his board position at Getty Images, Mr. Harris has served as a board observer of Infor since 2017. He formerly served on the board of Truck-Lite, a leading manufacturer of lighting solutions for commercial and off-road vehicles from December 2015 to December 2019, and on the board of managers of ASP CPM Holdings LLC from January 2024 to May 2026. Mr. Harris holds his B.S. and M.S. degrees in Mechanical Engineering from Brigham Young University. He also holds an M.B.A. degree from Columbia Business School.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Harris is qualified to serve on our Board of Directors because of his broad experience in the finance, software and technology industries, as well as his product development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PROPOSAL 2: RATIFICATION OF APPOINTMENT OF INDEPENDENT REGISTERED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PUBLIC ACCOUNTING FIRM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Audit Committee has appointed Ernst &amp; Young LLP as our independent registered public accounting firm for the fiscal year ending December 31, 2026. Our Board has directed that this appointment be submitted to our stockholders for ratification at the 2026 Annual Meeting. Although ratification of our appointment of Ernst &amp; Young LLP is not required, we value the opinions of our stockholders and believe that stockholder ratification of our appointment is a good corporate governance practice.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Ernst &amp; Young LLP has also served as our independent registered public accounting firm for the fiscal years ended December 31, 2025, and 2024.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2026 Annual Meeting and to have an opportunity to make a statement and be available to respond to appropriate questions from stockholders.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that the appointment of Ernst &amp; Young LLP is not ratified by the stockholders, the Audit Committee will consider this fact when it appoints the independent registered public accounting firm for the fiscal year ending December 31, 2027. Even if the appointment of Ernst &amp; Young LLP is ratified, the Audit Committee retains the discretion to appoint a different independent registered public accounting firm at any time if it determines that such a change is in the interest of the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Recommendation of Our Board of Directors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unanimously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Appointment of Ernst &amp; Young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INDEPENDENT REGISTERED PUBLIC ACCOUNTING FIRM FEES AND OTHER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fees of Ernst &amp; Young LLP, our independent registered public accounting firm, for professional services rendered for the fiscal years ended December 31, 2025 and December 31, 2024:</w:t>
      </w:r>
    </w:p>
    <w:tbl>
      <w:tblPr>
        <w:tblW w:w="4895" w:type="dxa"/>
        <w:jc w:val="left"/>
        <w:tblInd w:w="0" w:type="dxa"/>
        <w:tblLayout w:type="fixed"/>
        <w:tblCellMar>
          <w:top w:w="28" w:type="dxa"/>
          <w:left w:w="28" w:type="dxa"/>
          <w:bottom w:w="28" w:type="dxa"/>
          <w:right w:w="28" w:type="dxa"/>
        </w:tblCellMar>
      </w:tblPr>
      <w:tblGrid>
        <w:gridCol w:w="802"/>
        <w:gridCol w:w="707"/>
        <w:gridCol w:w="710"/>
        <w:gridCol w:w="109"/>
        <w:gridCol w:w="109"/>
        <w:gridCol w:w="109"/>
        <w:gridCol w:w="211"/>
        <w:gridCol w:w="721"/>
        <w:gridCol w:w="109"/>
        <w:gridCol w:w="109"/>
        <w:gridCol w:w="109"/>
        <w:gridCol w:w="109"/>
        <w:gridCol w:w="211"/>
        <w:gridCol w:w="61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Fee Category (in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Other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Audit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Audit fees consist of fees billed for professional services rendered for the annual audit of our consolidated financial statements presented within the Annual Report on Form 10-K for the years ended December 31, 2025 and 2024, the review of the interim consolidated financial statements presented in our quarterly reports on Form 10-Q, our registration statement on Form S-4, and other regulatory filings.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Audit-Related Fees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Audit-related fees related to Section 404(b) readiness billed by Ernst &amp; Young LLP for the year ended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Tax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Tax fees include fees billed by Ernst &amp; Young LLP related to tax compliance and consulting services.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All Other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other fees consisted of fees related to an accounting research software product.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determined that Ernst &amp; Young LLP’s provision of these services, and the fees that we paid for these services, are compatible with maintaining the independence of the independent registered public accounting firm.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Audit Committee approved all services that Ernst &amp; Young LLP provided in the fiscal years ended December 31, 2025 and 2024.</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Audit Committee Pre-Approval Policy and Procedures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The Audit Committee pre-approves all audit and permissible non-audit services provided by Ernst &amp; Young LLP (the “</w:t>
      </w:r>
      <w:r>
        <w:rPr>
          <w:rFonts w:ascii="Times New Roman;serif" w:hAnsi="Times New Roman;serif"/>
          <w:b w:val="false"/>
          <w:color w:val="000000"/>
          <w:sz w:val="20"/>
          <w:u w:val="single"/>
        </w:rPr>
        <w:t>Independent Auditors</w:t>
      </w:r>
      <w:r>
        <w:rPr>
          <w:color w:val="000000"/>
        </w:rPr>
        <w:t>”</w:t>
      </w:r>
      <w:r>
        <w:rPr>
          <w:rFonts w:ascii="Times New Roman;serif" w:hAnsi="Times New Roman;serif"/>
          <w:b w:val="false"/>
          <w:color w:val="000000"/>
          <w:sz w:val="20"/>
        </w:rPr>
        <w:t>). These services may include audit services, audit-related services, tax services and other services. The Audit Committee has adopted a policy for the pre-approval of services provided by the Independent Auditors. For each proposed service, the Independent Auditors provide the Audit Committee with a description of the service and sufficient information to confirm the Independent Auditors’ determination that the provision of such service will not impair the Independent Auditors’ independence. Any requests for audit, audit-related, tax and other services must initially be submitted to the Company’s Chief Financial Officer. Any requests preliminarily approved by the Chief Financial Officer are then submitted to the Audit Committee for approval in the case of services requiring specific pre-approval or reported to the Audit Committee periodically in the case of services generally pre-approved. The Audit Committee has approved in advance certain permitted services whose scope is routine across business units, including statutory or other financial audit work for non-U.S. subsidiaries that is not required for the Exchange Act audits.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REPORT OF THE AUDIT COMMITTEE OF THE BOARD OF DIRECTORS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Audit Committee has reviewed the audited consolidated financial statements of Getty Images Holdings,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w:t>
      </w:r>
      <w:r>
        <w:rPr>
          <w:rFonts w:ascii="Times New Roman;serif" w:hAnsi="Times New Roman;serif"/>
          <w:b w:val="false"/>
          <w:color w:val="000000"/>
          <w:sz w:val="20"/>
          <w:u w:val="single"/>
        </w:rPr>
        <w:t>PCAOB</w:t>
      </w:r>
      <w:r>
        <w:rPr>
          <w:color w:val="000000"/>
        </w:rPr>
        <w:t>”</w:t>
      </w:r>
      <w:r>
        <w:rPr>
          <w:rFonts w:ascii="Times New Roman;serif" w:hAnsi="Times New Roman;serif"/>
          <w:b w:val="false"/>
          <w:color w:val="000000"/>
          <w:sz w:val="20"/>
        </w:rPr>
        <w:t>) and the SEC.</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Company’s independent registered public accounting firm also provided the Audit Committee with a formal written statement required by PCAOB Rule 3526 (</w:t>
      </w:r>
      <w:r>
        <w:rPr>
          <w:rFonts w:ascii="Times New Roman;serif" w:hAnsi="Times New Roman;serif"/>
          <w:b w:val="false"/>
          <w:i/>
          <w:color w:val="000000"/>
          <w:sz w:val="20"/>
        </w:rPr>
        <w:t>Communications with Audit Committees Concerning Independence</w:t>
      </w:r>
      <w:r>
        <w:rPr>
          <w:rFonts w:ascii="Times New Roman;serif" w:hAnsi="Times New Roman;serif"/>
          <w:b w:val="false"/>
          <w:color w:val="000000"/>
          <w:sz w:val="20"/>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2025 Annual Report on Form 10-K.</w:t>
      </w:r>
    </w:p>
    <w:p>
      <w:pPr>
        <w:pStyle w:val="TextBody"/>
        <w:bidi w:val="0"/>
        <w:spacing w:lineRule="auto" w:line="288" w:before="160" w:after="283"/>
        <w:ind w:left="0" w:right="0" w:firstLine="450"/>
        <w:jc w:val="both"/>
        <w:rPr>
          <w:rFonts w:ascii="Times New Roman;serif" w:hAnsi="Times New Roman;serif"/>
          <w:b/>
          <w:color w:val="000000"/>
          <w:sz w:val="20"/>
          <w:u w:val="single"/>
        </w:rPr>
      </w:pPr>
      <w:r>
        <w:rPr>
          <w:rFonts w:ascii="Times New Roman;serif" w:hAnsi="Times New Roman;serif"/>
          <w:b/>
          <w:color w:val="000000"/>
          <w:sz w:val="20"/>
          <w:u w:val="single"/>
        </w:rPr>
        <w:t>Audit Committee*</w:t>
      </w:r>
    </w:p>
    <w:p>
      <w:pPr>
        <w:pStyle w:val="TextBody"/>
        <w:bidi w:val="0"/>
        <w:spacing w:lineRule="auto" w:line="288" w:before="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Tracy Knox, Chair</w:t>
      </w:r>
    </w:p>
    <w:p>
      <w:pPr>
        <w:pStyle w:val="TextBody"/>
        <w:bidi w:val="0"/>
        <w:spacing w:lineRule="auto" w:line="288" w:before="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Elizabeth Abrams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Jeffrey Titterton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Ms. Abrams and Mr. Titterton were appointed by our Board of Directors to the Audit Committee on July 20, 2026 and April 3, 2026, respectively. Ms. Schneider and Mr. Quella served on the Audit Committee until their resignations on July 20, 2026 and April 1, 2026, respectively.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3 APPROVAL OF AMENDMENT TO AMENDED AND RESTATED CERTIFICATE OF INCORPORATION TO EFFECT REVERSE STOCK SPLIT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17, 2026, our Charter authorizes us to issue a total of 2,006,140,000 shares of capital stock, consisting of (a) 1,000,000 shares of Preferred Stock, par value $0.0001 per share (of which none are currently outstanding), (b) 2,000,000,000 shares of Class A common stock, and (c) 5,140,000 shares of Class B Non-Voting Common Stock, par value $0.0001 per share (none of which are currently outstanding).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12, 2026, subject to stockholder approval, the Board of Directors approved an amendment to our Charter to, at the discretion of the Board of Directors exercisable for a period of up to one year, effect the reverse stock split of our Class A common stock at a ratio of 1-for-5 to 1-for-20, with the exact ratio within such range to be determined by the Board of Directors at its discretion (such action, the “</w:t>
      </w:r>
      <w:r>
        <w:rPr>
          <w:rFonts w:ascii="Times New Roman;serif" w:hAnsi="Times New Roman;serif"/>
          <w:b w:val="false"/>
          <w:color w:val="000000"/>
          <w:sz w:val="20"/>
          <w:u w:val="single"/>
        </w:rPr>
        <w:t>Reverse Stock Split</w:t>
      </w:r>
      <w:r>
        <w:rPr>
          <w:color w:val="000000"/>
        </w:rPr>
        <w:t>”</w:t>
      </w:r>
      <w:r>
        <w:rPr>
          <w:rFonts w:ascii="Times New Roman;serif" w:hAnsi="Times New Roman;serif"/>
          <w:b w:val="false"/>
          <w:color w:val="000000"/>
          <w:sz w:val="20"/>
        </w:rPr>
        <w:t>) and a reduction in the number of authorized shares of our Class A common stock by a corresponding ratio (the “</w:t>
      </w:r>
      <w:r>
        <w:rPr>
          <w:rFonts w:ascii="Times New Roman;serif" w:hAnsi="Times New Roman;serif"/>
          <w:b w:val="false"/>
          <w:color w:val="000000"/>
          <w:sz w:val="20"/>
          <w:u w:val="single"/>
        </w:rPr>
        <w:t>Authorized Share Reduction</w:t>
      </w:r>
      <w:r>
        <w:rPr>
          <w:color w:val="000000"/>
        </w:rPr>
        <w:t>”</w:t>
      </w:r>
      <w:r>
        <w:rPr>
          <w:rFonts w:ascii="Times New Roman;serif" w:hAnsi="Times New Roman;serif"/>
          <w:b w:val="false"/>
          <w:color w:val="000000"/>
          <w:sz w:val="20"/>
        </w:rPr>
        <w:t>). The primary goal of the Reverse Stock Split is to increase the per share market price of our Class A common stock to meet the minimum per share bid price requirements for continued listing on the NYSE.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Exchange Act. Although stockholders who hold fewer shares of Class A common stock immediately prior to the effective time of the Reverse Stock Split than the Reverse Stock Split ratio selected by the Board of Directors will receive only a cash payment in lieu of a fractional share and will cease to be stockholders of the Company as a result, as described under “Treatment of Fractional Shares in the Reverse Stock Split” below, we do not expect the number of stockholders affected in this manner to be significant in relation to our overall stockholder base, and any resulting reduction in the number of stockholders is an incidental effect of, rather than an intended purpose of, the Reverse Stock Split. The Reverse Stock Split is not intended to modify the rights of existing stockholders in any material respect, other than as a result of the receipt of cash in lieu of a fractional share as described 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Proposal is approved by our stockholders and the Reverse Stock Split is effected, up to every 20 shares of our outstanding Class A common stock would be combined and reclassified into one share of Class A common stock. The actual timing for implementation of the Reverse Stock Split would be determined by the Board of Directors based upon its evaluation as to when such action would be most advantageous to us and our stockholders. Notwithstanding approval of the Reverse Stock Split Proposal by our stockholders, the Board of Directors will have the sole authority to elect whether or not and when to amend our Charter to effect the Reverse Stock Split and the Authorized Share Reduction. If the Reverse Stock Split Proposal is approved by our stockholders, the Board of Directors will make a determination as to whether effecting the Reverse Stock Split is in the best interests of us and our stockholders in light of, among other things, our ability to increase the trading price of our Class A common stock to meet the minimum stock price standards of the NYSE without effecting the Reverse Stock Split, the per share price of our Class A common stock immediately prior to the Reverse Stock Split and the expected stability of the per share price of the Class A common stock following the Reverse Stock Split. If the Board of Directors determines that it is in the best interests of us and our stockholders to effect the Reverse Stock Split, it will hold a Board of Directors meeting, or act by written consent, to determine the ratio of the Reverse Stock Split. For additional information concerning the factors the Board of Directors will consider in deciding whether to effect the Reverse Stock Split, see below under “Determination of the Reverse Stock Split Ratio” and “Board of Directors Discretion to Effect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text of the proposed amendment to the Charter to effect the Reverse Stock Split and the Authorized Share Reduction is included as Appendix A to this proxy statement (the “</w:t>
      </w:r>
      <w:r>
        <w:rPr>
          <w:rFonts w:ascii="Times New Roman;serif" w:hAnsi="Times New Roman;serif"/>
          <w:b w:val="false"/>
          <w:color w:val="000000"/>
          <w:sz w:val="20"/>
          <w:u w:val="single"/>
        </w:rPr>
        <w:t>Reverse Split Amendment</w:t>
      </w:r>
      <w:r>
        <w:rPr>
          <w:color w:val="000000"/>
        </w:rPr>
        <w:t>”</w:t>
      </w:r>
      <w:r>
        <w:rPr>
          <w:rFonts w:ascii="Times New Roman;serif" w:hAnsi="Times New Roman;serif"/>
          <w:b w:val="false"/>
          <w:color w:val="000000"/>
          <w:sz w:val="20"/>
        </w:rPr>
        <w:t>). If the Reverse Stock Split Proposal is approved by our stockholders, we will have the authority to file the Reverse Split Amendment with the Secretary of State of the State of Delaware, which will become effective upon its filing; provided, however, that the Reverse Split Amendment is subject to revision to include such changes as may be required by the Office of the Secretary of State of the State of Delaware and as the Board of Directors deems necessary and advisable. The Board of Directors has determined that the amendment is advisable and in the best interests of us and our stockholders and has submitted the amendment for consideration by our stockholders at the Annual Meeting.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Reasons for the Reverse Stock Split and Authorized Share Reduction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submitting this proposal to our stockholders for approval in order to increase the trading price of our Class A common stock to meet the minimum per share bid price requirement for continued listing on the NYSE. We believe increase in the trading price of our Class A common stock may also assist in our capital-raising efforts by making our Class A common stock more attractive to a broader range of investors, including institutional investors. Accordingly, we believe that the Reverse Stock Split is in our stockholders’ best interests.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Maintaining our listing on the NYSE is important to us and our stockholders. Continued listing supports liquidity for our Class A common stock, facilitates access to capital on more favorable terms and enhances our attractiveness to potential strategic partners, collaborators and investors. A NYSE listing also provides a level of visibility and credibility with the investment community that we believe would be difficult to replicate if our Class A common stock were to trade only on the over-the-counter markets, and helps support continued analyst coverage and institutional investor interest in our Class A common stock. Loss of our NYSE listing could adversely affect our ability to raise additional capital, could reduce the trading volume and liquidity of our Class A common stock, and could make our Class A common stock less attractive to current and prospective stockholders, employees and business partners. Our Board of Directors believes that preserving our NYSE listing is consistent with, and supportive of, our broader efforts to maximize long-term stockholder value, including our ongoing evaluation of strategic alternatives.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March 17, 2026, the Company received written notice from the NYSE that the Company was not in compliance with the NYSE’s continued listing standard set forth in Section 802.01C of the NYSE Listed Company Manual because the average closing price of the Company’s Class A common stock was less than $1.00 over a consecutive 30 trading-day period.</w:t>
      </w:r>
      <w:r>
        <w:rPr>
          <w:color w:val="000000"/>
        </w:rPr>
        <w:t xml:space="preserve"> </w:t>
      </w:r>
      <w:r>
        <w:rPr>
          <w:rFonts w:ascii="Times New Roman;serif" w:hAnsi="Times New Roman;serif"/>
          <w:b w:val="false"/>
          <w:color w:val="000000"/>
          <w:sz w:val="20"/>
        </w:rPr>
        <w:t>In order to regain compliance, our Class A common stock must, on the last trading day of any calendar month have a closing share price of at least $1.00 and an average closing share price of at least $1.00 over the preceding 30 trading-day period.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Reverse Stock Split is our best option to meet the criteria to satisfy such requirement for continued listing on the NYSE. A decrease in the number of outstanding shares of our Class A common stock resulting from the Reverse Stock Split should, absent other factors, assist in ensuring that the per share trading price of our Class A common stock remains above the requisite price for continued listing. However, we cannot provide any assurance that our trading price will satisfy the minimum trading price requirement of the NYSE following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as noted above, we believe that the Reverse Stock Split and the resulting increase in the per share price of our Class A common stock could encourage increased investor interest in our Class A common stock and promote greater liquidity for our stockholders. A greater price per share of our Class A common stock could allow a broader range of institutions to invest in our Class A common stock (namely, funds that are prohibited or discouraged from buying stocks with a price below a certain threshold), potentially increasing marketability, trading volume and liquidity of our Class A common stock. Many institutional investors view stocks trading at low prices as unduly speculative in nature and, as a result, avoid investing in such stocks. We believe that the Reverse Stock Split will provide our Board of Directors with flexibility to make our Class A common stock a more attractive investment for these institutional investors, which we believe will enhance the liquidity for the holders of our Class A common stock and may facilitate future sales of our Class A common stock. The Reverse Stock Split could also increase interest in our Class A common stock for analysts and brokers who may otherwise have policies that discourage or prohibit them from following or recommending companies with low stock prices. Additionally, because brokers’ commissions on transactions in low-priced stocks generally represent a higher percentage of the stock price than commissions on higher-priced stocks, the current average price per share of our Class A common stock can result in individual stockholders paying transaction costs representing a higher percentage of their total share value than would be the case if the share price were substantially higher.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intends to effect the Reverse Stock Split only if it believes that a decrease in the number of shares outstanding is in the best interests of us and our stockholders and is likely to improve the trading price of our Class A common stock and improve the likelihood that we will be allowed to maintain our listing on the NYSE. Accordingly, our Board of Directors approved the Reverse Stock Split as being in the best interests of the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matter of Delaware law, the implementation of the Reverse Stock Split does not require a reduction in the total number of authorized shares of our Class A common stock. However, if stockholders adopt and approve the Reverse Stock Split Proposal to effect the Reverse Stock Split and the Authorized Share Reduction and the Reverse Stock Split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implemented, the authorized number of shares of our Class A common stock also would be reduced by a corresponding ratio.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Associated with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not increase the price of our Class A common stock over the long-term.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principal purpose of the Reverse Stock Split is to increase the trading price of our Class A common stock to meet the minimum stock price standards of the NYSE, so that we can remain a NYSE-listed company. However, the effect of the Reverse Stock Split on the market price of our Class A common stock cannot be predicted with any certainty, and we cannot assure you that the Reverse Stock Split will accomplish this objective for any meaningful period of time, or at all. While we expect that the reduction in the number of outstanding shares of Class A common stock will proportionally increase the market price of our Class A common stock, we cannot assure you that the Reverse Stock Split will increase the market price of our Class A common stock by a multiple of the Reverse Stock Split ratio, or result in any permanent or sustained increase in the market price of our Class A common stock. The market price of our Class A common stock may be affected by other factors which may be unrelated to the number of shares outstanding, including the Company’s business and financial performance, general market conditions, and prospects for future success.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decrease the liquidity of our Class A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the Reverse Stock Split may result in an increase in the market price of our Class A common stock, which could lead to increased interest in our Class A common stock and possibly promote greater liquidity for our stockholders. However, the Reverse Stock Split will also reduce the total number of outstanding shares of Class A common stock, which may lead to reduced trading and a smaller number of market makers for our Class A common stock, particularly if the price per share of our Class A common stock does not increase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result in some stockholders owning “odd lots” that may be more difficult to sell or require greater transaction costs per share to sell.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implemented, it will increase the number of stockholders who own “odd lots” of less than 100 shares of Class A common stock. A purchase or sale of less than 100 shares of Class A common stock (an “odd lot” transaction) may result in incrementally higher trading costs through certain brokers, particularly “full service” brokers. Therefore, those stockholders who own fewer than 100 shares of Class A common stock following the Reverse Stock Split may be required to pay higher transaction costs if they sell their Class A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lead to a decrease in our overall market capitalization.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may be viewed negatively by the market and, consequently, could lead to a decrease in our overall market capitalization. If the per share market price of our Class A common stock does not increase in proportion to the Reverse Stock Split ratio, then the value of our Company, as measured by our market capitalization, will be reduced. Additionally, any reduction in our market capitalization may be magnified as a result of the smaller number of total shares of Class A common stock outstanding following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Potential Consequences if the Reverse Stock Split Proposal is Not Approved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If the Reverse Stock Split Proposal is not approved by our stockholders, our Board of Directors will not have the authority to effect the Reverse Split Amendment to, among other things, facilitate the continued listing of our Class A common stock on the NYSE by increasing the per share trading price of our Class A common stock to help ensure a share price high enough to satisfy the minimum price requirement. Any inability of our Board of Directors to effect the Reverse Stock Split would expose us to delisting from the NYSE. Upon delisting from the NYSE, our stock would be traded in the over-the-counter (“</w:t>
      </w:r>
      <w:r>
        <w:rPr>
          <w:rFonts w:ascii="Times New Roman;serif" w:hAnsi="Times New Roman;serif"/>
          <w:b w:val="false"/>
          <w:color w:val="000000"/>
          <w:sz w:val="20"/>
          <w:u w:val="single"/>
        </w:rPr>
        <w:t>OTC</w:t>
      </w:r>
      <w:r>
        <w:rPr>
          <w:color w:val="000000"/>
        </w:rPr>
        <w:t>”</w:t>
      </w:r>
      <w:r>
        <w:rPr>
          <w:rFonts w:ascii="Times New Roman;serif" w:hAnsi="Times New Roman;serif"/>
          <w:b w:val="false"/>
          <w:color w:val="000000"/>
          <w:sz w:val="20"/>
        </w:rPr>
        <w:t>) market via a broker-dealer network. Investors may be required to take additional steps and/or pay additional fees when trading OTC securities because trades must be made through market makers who carry an inventory of securities to facilitate trading. Some institutional investors and retail brokers refrain from buying OTC securities, as they are generally considered to be more risky, with less stringent reporting requirements and lower transparency associated with these securities. As a result, OTC securities have less liquidity than securities traded on a national exchange, such as the NYSE.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Determination of the Reverse Stock Split Ratio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stockholder approval of a range of potential Reverse Stock Split ratios is in the best interests of us and our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of Directors will not be more than 1-for-20.</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selection of the specific Reverse Stock Split ratio will be based on several factors, including, among other things: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our ability to maintain the listing of our Class A common stock on the NYSE;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per share price of our Class A common stock immediately prior to the Reverse Stock Split;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expected stability of the per share price of our Class A common stock following the Reverse Stock Split;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likelihood that the Reverse Stock Split will result in increased marketability and liquidity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prevailing market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in our industry;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market capitalization before and after the Reverse Stock Split.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granting our Board of Directors the authority to set the ratio for the Reverse Stock Split is essential because it allows us to take these factors into consideration and to react to changing market conditions. If our Board of Directors chooses to implement the Reverse Stock Split, the Company will make a public announcement regarding the determination of the Reverse Stock Split ratio.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of Directors Discretion to Effect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Proposal is approved by our stockholders, our Board of Directors will have the discretion to implement the Reverse Stock Split or to not effect the Reverse Stock Split at all. The Board of Directors currently intends to effect the Reverse Stock Split. If the trading price of our Class A common stock increases without effecting the Reverse Stock Split, the Reverse Stock Split may not be necessary. Our Board of Directors believes it is important to retain the authority to effect the Reverse Stock Split even if we pursue, or are pursuing, other efforts intended to increase the trading price of our Class A common stock, because those other efforts may not succeed, or, even if they initially succeed, the trading price of our Class A common stock could subsequently decline due to overall market conditions or other factors unrelated to those efforts. Retaining this authority allows the Board of Directors to respond promptly to such circumstances without the delay and expense of seeking additional stockholder approval. Following the Reverse Stock Split, if implemented, there can be no assurance that the market price of our Class A common stock will rise in proportion to the reduction in the number of outstanding shares resulting from the Reverse Stock Split or that the market price of the post-split Class A common stock can be maintained above $1.00. There also can be no assurance that our Class A common stock will not be delisted from the NYSE, including for other reasons.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Reverse Stock Split Proposal, the Reverse Stock Split and Authorized Share Reduction will be effected, if at all, only upon a determination by the Board of Directors that the Reverse Stock Split and the Authorized Share Reduction are in the best interests of us and our stockholders at that time. No further action on the part of the stockholders will be required to either effect or abandon the Reverse Stock Split or the Authorized Share Reduction. If our Board of Directors does not implement the Reverse Stock Split and Authorized Share Reduction prior to the one-year anniversary of the date on which the Reverse Stock Split Proposal is approved by the stockholders, the authority granted in this proposal to implement the Reverse Stock Split and the Authorized Share Reduction will terminate and the Reverse Split Amendment will be abandoned.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is dependent upon our performance and other factors, some of which are unrelated to the number of shares outstanding. If the Reverse Stock Split is effected and the market price of our Class A common stock declines, the percentage decline as an absolute number and as a percentage of our overall market capitalization may be greater than would occur in the absence of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proposed the Reverse Stock Split in response to any effort of which we are aware to accumulate our shares of Class A common stock or obtain control of the Company, nor is it a plan by management to recommend a series of similar actions to our Board of Directors or our stockholders. Notwithstanding the decrease in the number of outstanding shares of Class A common stock following the Reverse Stock Split, our Board of Directors does not intend for this transaction to be the first step in a “going private transaction” within the meaning of Rule 13e-3 of the Exchange Act. Although a limited number of stockholders holding a small number of shares of Class A common stock may receive only cash and cease to be stockholders as a result of the treatment of fractional shares in the Reverse Stock Split, as described under “Treatment of Fractional Shares in the Reverse Stock Split” below, we do not believe that this effect is material in relation to our overall stockholder base, and we do not believe the Reverse Stock Split should be considered a “going private” transaction within the meaning of Rule 13e-3.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Effects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issued and outstanding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effected, it will reduce the total number of issued and outstanding shares of Class A common stock by a Reverse Stock Split ratio of 1-for-5 to 1-for-20. Accordingly, each of our stockholders will own fewer shares of Class A common stock as a result of the Reverse Stock Split. However, the Reverse Stock Split will affect all stockholders uniformly and will not affect any stockholder’s percentage ownership interest in the Company, except to the extent that a stockholder receives cash in lieu of a fractional share of Class A common stock in the Reverse Stock Split. Therefore, voting rights and other rights and preferences of the holders of Class A common stock will not be affected by the Reverse Stock Split (other than as a result of the receipt of cash in lieu of a fractional share). Class A common stock issued pursuant to the Reverse Stock Split will remain fully paid and nonassessable, and the par value per share of Class A common stock will remain $0.0001.</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17, 2026, we had 421,018,476 shares of Class A common stock outstanding. For purposes of illustration, if the Reverse Stock Split is effected at a ratio of 1-for-5 or 1-for-20, the number of issued and outstanding shares of Class A common stock after the Reverse Stock Split would be approximately 84,200,000 shares and 21,100,000 shares,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authorized to issue a maximum of 2,000,000,000 shares of our Class A common stock. As of August 17, 2026, there were 421,018,476 shares of our Class A common stock issued and outstanding. The number of authorized shares of our Class A common stock will be reduced in proportion to the ratio selected by the Board of Directors pursuant to the Authorized Share Reduction.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outstanding equity awards and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2022 Plan and 2022 ESPP, the Reverse Stock Split is expected to result in proportionate adjustment of the applicable awards or securities as further described in “Proposal No. 4 Approval Of First Amendment To The Getty Images Holdings, Inc. 2022 Equity Incentive Plan—Equitable Adjustment; Treatment upon Change in Control” and “Proposal No. 5 Approval Of First Amendment To The Getty Images Holdings, Inc. 2022 Employee Stock Purchase Plan—Capitalization Adjustments,”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voting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Proportionate voting rights and other rights of the holders of Class A common stock would not be affected by the Reverse Stock Split (other than as a result of the receipt of cash in lieu of a fractional share). For example, a holder of 1% of the voting power of the outstanding Class A common stock immediately prior to the effective time of the Reverse Stock Split would continue to hold 1% of the voting power of the outstanding Class A common stock after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regulatory matters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the periodic reporting and other requirements of the Exchange Act. The Reverse Stock Split will not affect our obligation to publicly file financial and other information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Treatment of Fractional Shares in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intend to issue fractional shares of Class A common stock in the event that a stockholder owns a number of shares of Class A common stock that is not evenly divisible by the Reverse Stock Split ratio. Instead, stockholders who otherwise would be entitled to receive a fractional share of Class A common stock as a result of the Reverse Stock Split will receive a cash payment in lieu of such fractional share, as described below. If the Reverse Stock Split is effected, each fractional share of Class A common stock will be: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converted into the right to receive a cash payment, without interest, in lieu thereof, in an amount equal to the product of such fraction multiplied by the average of the closing sale prices of the Class A common stock on the NYSE for the five consecutive trading days immediately preceding the effective date of the Reverse Stock Split (or, if the Class A common stock does not trade on the NYSE during such period, based on such other measure of the fair market value of the Class A common stock as our Board of Directors determines to be appropriate), if such shares of Class A common stock are held directly;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rounded down to the nearest whole share of Class A common stock, if such shares are subject to an award granted under an equity incentive plan, in order to comply with the requirements of Sections 409A and 424 of the 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holder of Class A common stock will be entitled to receive interest on any cash payment made in lieu of a fractional share, and such cash payments will be paid from the Company’s available funds. No stockholder of record will be required to pay any fee or service charge to us or our transfer agent in connection with the payment of cash in lieu of a fractional share of Class A common stock to which they may otherwise be entitled. As soon as practicable following the effective time of the Reverse Stock Split, our transfer agent will process the payment of cash in lieu of fractional shares to stockholders who hold their shares directly. Generally, stockholders who hold their shares in “street name” through a bank, broker or other nominee will have the cash payment for any fractional share credited to their account by such bank, broker or other nominee following receipt of the aggregate cash payment from our transfer agent. The precise treatment, timing and procedures, including whether any fee or service charge will be imposed, are determined by each individual bank, broker or nominee and may differ from the treatment, timing and procedures applicable to stockholders who hold their shares of record directly with our transfer agent. Stockholders who hold their shares in street name should contact their bank, broker or other nominee with any questions regarding the treatment, timing, procedures, manner or cost of receiving payment for any fractional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should also be aware that, because fractional shares will be paid out in cash rather than rounded up to a whole share, a stockholder who holds a number of shares of Class A common stock immediately prior to the effective time of the Reverse Stock Split that is less than the Reverse Stock Split ratio selected by the Board of Directors will not receive any whole share of New Class A common stock and will instead receive only a cash payment for the resulting fractional share, and such stockholder will cease to be a stockholder of the Company following the Reverse Stock Split. For example, if the Board of Directors selects a Reverse Stock Split ratio of 1-for-20, a stockholder holding fewer than 20 shares of Class A common stock immediately prior to the effective time would receive only cash and would no longer hold any shares of Class A common stock following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stockholder entitled to receive a cash payment in lieu of a fractional share cannot be located, or does not cash a check issued in payment thereof within the time period specified by applicable law, the amount of such payment may be treated as unclaimed property and, to the extent required by applicable law, remitted to the relevant state, and the stockholder’s right to receive such payment may thereafter be subject to the applicable state’s unclaimed or abandoned property laws.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Effective Time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Proposal is approved by our stockholders, the Reverse Stock Split would become effective, if at all, when the Reverse Split Amendment is accepted and recorded by the office of the Secretary of State of the State of Delaware. However, notwithstanding approval of the Reverse Stock Split Proposal by our stockholders, the Board of Directors will have the sole authority to elect whether or not and when to amend our Charter to effect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Appraisal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Approvals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will not be consummated, if at all, until after approval of the stockholders is obtained. We are not obligated to obtain any governmental approvals or comply with any state or federal regulations prior to consummating the Reverse Stock Split other than the filing of the Reverse Split Amendment with the Secretary of State of the State of Delaware.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Treatment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effected, the par value per share of our Class A common stock will remain unchanged at $0.0001. Accordingly, on the effective date of the Reverse Stock Split, the stated capital on the Company’s consolidated balance sheets attributable to our Class A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Class A common stock outstanding. The Company does not anticipate that any other accounting consequences, including changes to the amount of stock-based compensation expense to be recognized in any period, will arise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U.S. Federal Income Tax Consequences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summary describes, as of the date of this Proxy Statement, certain U.S. federal income tax consequences of the Reverse Stock Split to holders of our Class A common stock. This summary addresses the tax consequences only to a U.S. holder, which is a beneficial owner of our Class A common stock that is either:</w: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individual citizen or resident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in or under the laws of the United States or any state thereof or the District of Columbia;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trust, if: (i) a court within the United States is able to exercise primary jurisdiction over its administration and one or more U.S. persons has the authority to control all of its substantial decisions or (ii) it has a valid election in place to be treated as a United States person for U.S. federal income tax purposes.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This summary is based on the provisions of the 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U.S. Treasury regulations, administrative rulings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U.S. expatriates, persons subject to the alternative minimum tax, persons whose functional currency is not the U.S. dollar, partnerships or other pass-through entities, traders in securities that elect to mark to market and dealers in securities or currencies, (ii) persons that hold our Class A common stock as part of a position in a “straddle” or as part of a “hedging transaction,” “conversion transaction” or other integrated investment transaction for federal income tax purposes or (iii) persons that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hold our Class A common stock as “capital assets” (generally, property held for investment). This summary does not address backup withholding and information reporting. This summary does not address U.S. holders who beneficially own Class A common stock through a “foreign financial institution” (as defined in Code Section 1471(d)(4)) or certain other non-U.S. entities specified in Code Section 1472. This summary does not address tax considerations arising under any state, local or foreign laws, or under federal estate or gift tax laws.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partnership (or other entity classified as a partnership for U.S. federal income tax purposes) is the beneficial owner of our Class A common stock, the U.S. federal income tax treatment of a partner in the partnership will generally depend on the status of the partner and the activities of the partnership. Partnerships that hold our Class A common stock, and partners in such partnerships, should consult their own tax advisors regarding the U.S. federal income tax consequences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should consult his, her or its own tax advisors concerning the particular U.S. federal tax consequences of the Reverse Stock Split, as well as the consequences arising under the laws of any other taxing jurisdiction, including any foreign, state, or local income tax consequences.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Tax Treatment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is intended to qualify as a “reorganization” under Section 368 of the Code that should constitute a “recapitalization” for U.S. federal income tax purposes. Assuming the Reverse Stock Split qualifies as a reorganization, a U.S. holder generally will not recognize gain or loss upon the exchange of our Class A common shares for a lesser number of Class A common shares, based upon the Reverse Stock Split ratio, except with respect to cash received in lieu of a fractional share of our Class A common stock, as discussed below. A U.S. holder’s aggregate tax basis in the lesser number of Class A common shares received in the Reverse Stock Split will be the same such U.S. holder’s aggregate tax basis in the shares of our Class A common stock that such U.S. holder owned immediately prior to the Reverse Stock Split (excluding any portion of such basis that is allocated to any fractional share of our Class A common stock). The holding period for the Class A common shares received in the Reverse Stock Split will include the period during which a U.S. holder held the shares of our Class A common stock that were surrendered in the Reverse Stock Split. The United States Treasury regulations provide detailed rules for allocating the tax basis and holding period of the shares of our Class A common stock surrendered to the shares of our Class A common stock received pursuant to the Reverse Stock Split. U.S. holders of shares of our Class A common stock acquired on different dates and at different prices should consult their tax advisors regarding the allocation of the tax basis and holding period of such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a U.S. holder that receives cash in lieu of a fractional share of our Class A common stock pursuant to the Reverse Stock Split will recognize capital gain or loss in an amount equal to the difference between the amount of cash received and the U.S. holder’s tax basis in the shares of our Class A common stock surrendered that is allocated to such fractional share. Such capital gain or loss will be long term capital gain or loss if the U.S. holder’s holding period for our Class A common stock surrendered exceeded one year at the effective time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IS INTENDED ONLY AS A SUMMARY OF CERTAIN FEDERAL INCOME TAX CONSEQUENCES OF THE REVERSE STOCK SPLIT AND DOES NOT CONSTITUTE A TAX OPINION. EACH HOLDER OF OUR CLASS A COMMON SHARES SHOULD CONSULT ITS OWN TAX ADVISOR REGARDING THE TAX CONSEQUENCES OF THE REVERSE STOCK SPLIT TO THEM AND FOR REFERENCE TO APPLICABLE PROVISIONS OF THE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The Board of Directors recommends that you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0"/>
        </w:rPr>
        <w:t>the approval of the Reverse Split Amendment to the Charter to effect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4 APPROVAL OF FIRST AMENDMENT TO THE GETTY IMAGES HOLDINGS, INC. 2022 EQUITY INCENTIVE PLAN</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asking our stockholders to approve the First Amendment (the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to the Getty Images Holdings, Inc. 2022 Equity Incentive Plan</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2022 Plan</w:t>
      </w:r>
      <w:r>
        <w:rPr>
          <w:color w:val="000000"/>
        </w:rPr>
        <w:t>”</w:t>
      </w:r>
      <w:r>
        <w:rPr>
          <w:rFonts w:ascii="Times New Roman;serif" w:hAnsi="Times New Roman;serif"/>
          <w:b w:val="false"/>
          <w:color w:val="000000"/>
          <w:sz w:val="20"/>
        </w:rPr>
        <w:t>). The Amendment was adopted by our Board of Directors on August 12, 2026, subject to approval by our stockholders at the Annual Meeting. The Amendment is intended to increase the number of shares of our Class A common stock reserved and available for future issuance under the 2022 Plan by 42,101,848 shares of Class A common stock. The Amendment will become effective as of the date of the Annual Meeting if approved by our stockholders and will not become effective if such approval is not received. The Amendment does not change any material provision of the 2022 Plan other than to increase the number of shares of Class A common stock reserved and available for future issuance under the 2022 Plan. As of August 17, 2026, the closing price of a share of our Class A common stock on the New York Stock Exchange was approximately $0.28. Unless otherwise noted, the numbers set forth in this proposal are on a pre-Reverse Stock Split basis.</w:t>
      </w:r>
      <w:r>
        <w:rPr>
          <w:color w:val="000000"/>
        </w:rPr>
        <w:t xml:space="preserve"> </w:t>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Rationale for the Adoption of the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2022 Plan facilitates our use of equity-based awards and incentives to provide incentive compensation opportunities tied to the performance of the Company and its Class A common stock and to advance the interests of the Company and increase stockholder value by attracting, retaining and motivating key personnel upon whose judgment, initiative and effort the successful conduct of the Company’s business is largely dependent. To accomplish these purposes, the 2022 Plan provides for the issuance of stock options, stock appreciation rights (“</w:t>
      </w:r>
      <w:r>
        <w:rPr>
          <w:rFonts w:ascii="Times New Roman;serif" w:hAnsi="Times New Roman;serif"/>
          <w:b w:val="false"/>
          <w:color w:val="000000"/>
          <w:sz w:val="20"/>
          <w:u w:val="single"/>
        </w:rPr>
        <w:t>SARs</w:t>
      </w:r>
      <w:r>
        <w:rPr>
          <w:color w:val="000000"/>
        </w:rPr>
        <w:t>”</w:t>
      </w:r>
      <w:r>
        <w:rPr>
          <w:rFonts w:ascii="Times New Roman;serif" w:hAnsi="Times New Roman;serif"/>
          <w:b w:val="false"/>
          <w:color w:val="000000"/>
          <w:sz w:val="20"/>
        </w:rPr>
        <w:t>), restricted stock, restricted stock units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xml:space="preserve">), other stock-based awards and cash awards. The 2022 Plan will expire on July 21, 2032.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17, 2026, only 4,056,148 shares of Class A common stock were available for future issuance under the 2022 Plan. If the Amendment is not approved by our stockholders at the Annual Meeting, we expect that we will run out of shares that are available for future issuance under the 2022 Plan prior to the date of our 2027 Annual Meeting of Stockholders and will be unable to adequately incentivize our officers, employees, non-employee directors and consultants by providing them with equity-based awards under the 2022 Plan.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therefore requesting that our stockholders vote to approve the Amendment to increase the number of shares of Class A common stock reserved and available for future issuance under the 2022 Plan by 42,101,848 shares of Class A common stock. If the Amendment is approved, the total number of shares reserved and available for issuance with respect to further awards under the 2022 Plan (including the shares added by the Amendment) will be 46,157,996 shares of Class A common stock. If the Reverse Stock Split is also approved, the number of shares reserved and available for future issuance under the 2022 Plan (as increased by the Amendment) will be equitably adjusted. For purposes of illustration, if the Reverse Stock Split is effected at a ratio of 1-for-5 or 1-for-20, the number of shares reserved and available for future issuance under the 2022 Plan (as increased by the Amendment) after the Reverse Stock Split would be approximately 9,231,599 shares and 2,307,900 shares, respectively. Other than the additional shares described above, no other changes are being proposed to the 2022 Plan pursuant to the Amendment.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Amendment is approved, we expect that the shares reserved and available for future issuance under the 2022 Plan (as increased by the Amendment) will allow us to continue to grant long-term incentives in the form of equity-based awards for approximately two years following the approval of the Amendment by our stockholders.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Historical Annual Share Usage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equity-based awards and incentives are an important part of our short- and long-term incentive compensation program, we are mindful of our responsibility to our stockholders to exercise judgment in granting equity-based awards.</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Outstanding Awards Overhang</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following table sets forth information about the Company’s equity-based compensation plans (other than our employee stock purchase plan), including outstanding awards under the 2022 Plan and the Getty Images Holdings Inc. 2022 Earn Out Plan (the “</w:t>
      </w:r>
      <w:r>
        <w:rPr>
          <w:rFonts w:ascii="Times New Roman;serif" w:hAnsi="Times New Roman;serif"/>
          <w:b w:val="false"/>
          <w:color w:val="000000"/>
          <w:sz w:val="20"/>
          <w:u w:val="single"/>
        </w:rPr>
        <w:t>2022 Earn Out Plan</w:t>
      </w:r>
      <w:r>
        <w:rPr>
          <w:color w:val="000000"/>
        </w:rPr>
        <w:t>”</w:t>
      </w:r>
      <w:r>
        <w:rPr>
          <w:rFonts w:ascii="Times New Roman;serif" w:hAnsi="Times New Roman;serif"/>
          <w:b w:val="false"/>
          <w:color w:val="000000"/>
          <w:sz w:val="20"/>
        </w:rPr>
        <w:t xml:space="preserve">) as of August 17, 2026: </w:t>
      </w:r>
    </w:p>
    <w:tbl>
      <w:tblPr>
        <w:tblW w:w="8655" w:type="dxa"/>
        <w:jc w:val="left"/>
        <w:tblInd w:w="0" w:type="dxa"/>
        <w:tblLayout w:type="fixed"/>
        <w:tblCellMar>
          <w:top w:w="28" w:type="dxa"/>
          <w:left w:w="28" w:type="dxa"/>
          <w:bottom w:w="28" w:type="dxa"/>
          <w:right w:w="28" w:type="dxa"/>
        </w:tblCellMar>
      </w:tblPr>
      <w:tblGrid>
        <w:gridCol w:w="2742"/>
        <w:gridCol w:w="2413"/>
        <w:gridCol w:w="2419"/>
        <w:gridCol w:w="316"/>
        <w:gridCol w:w="316"/>
        <w:gridCol w:w="449"/>
      </w:tblGrid>
      <w:tr>
        <w:trPr/>
        <w:tc>
          <w:tcPr>
            <w:tcW w:w="274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Total number of full-value awards (RSUs and performance stock units (PSUs)) outstanding</w:t>
            </w:r>
            <w:r>
              <w:rPr>
                <w:rFonts w:ascii="Times New Roman;serif" w:hAnsi="Times New Roman;serif"/>
                <w:b w:val="false"/>
                <w:color w:val="000000"/>
                <w:sz w:val="13"/>
              </w:rPr>
              <w:t>(1)</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20,589,627</w:t>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stock options outstanding</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9,218,314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color w:val="003366"/>
        </w:rPr>
      </w:pPr>
      <w:r>
        <w:rPr>
          <w:color w:val="003366"/>
        </w:rPr>
        <w:t> </w:t>
      </w:r>
    </w:p>
    <w:tbl>
      <w:tblPr>
        <w:tblW w:w="8880" w:type="dxa"/>
        <w:jc w:val="left"/>
        <w:tblInd w:w="0" w:type="dxa"/>
        <w:tblLayout w:type="fixed"/>
        <w:tblCellMar>
          <w:top w:w="28" w:type="dxa"/>
          <w:left w:w="28" w:type="dxa"/>
          <w:bottom w:w="28" w:type="dxa"/>
          <w:right w:w="28" w:type="dxa"/>
        </w:tblCellMar>
      </w:tblPr>
      <w:tblGrid>
        <w:gridCol w:w="2787"/>
        <w:gridCol w:w="2450"/>
        <w:gridCol w:w="2457"/>
        <w:gridCol w:w="240"/>
        <w:gridCol w:w="240"/>
        <w:gridCol w:w="706"/>
      </w:tblGrid>
      <w:tr>
        <w:trPr/>
        <w:tc>
          <w:tcPr>
            <w:tcW w:w="2787"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exercise price of outstanding stock options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of outstanding stock options (in years)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Total number of shares available for grant under the 2022 Plan</w:t>
            </w:r>
            <w:r>
              <w:rPr>
                <w:rFonts w:ascii="Times New Roman;serif" w:hAnsi="Times New Roman;serif"/>
                <w:b w:val="false"/>
                <w:color w:val="000000"/>
                <w:sz w:val="13"/>
              </w:rPr>
              <w:t>(2)</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4,056,148</w:t>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Total number of shares available for grant under the 2022 Earn Out Plan</w:t>
            </w:r>
            <w:r>
              <w:rPr>
                <w:rFonts w:ascii="Times New Roman;serif" w:hAnsi="Times New Roman;serif"/>
                <w:b w:val="false"/>
                <w:color w:val="000000"/>
                <w:sz w:val="13"/>
              </w:rPr>
              <w:t>(3)</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20,856</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33,884,945</w:t>
            </w:r>
          </w:p>
        </w:tc>
      </w:tr>
      <w:tr>
        <w:trPr/>
        <w:tc>
          <w:tcPr>
            <w:tcW w:w="7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of Class A common stock outstanding</w:t>
            </w:r>
          </w:p>
        </w:tc>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421,018,476</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 percentage</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0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 assuming stockholder approval of the Amendment</w:t>
            </w:r>
          </w:p>
        </w:tc>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75,986,793</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 percentage assuming stockholder approval of the Amendment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0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Approximate per-share closing price of a share of Class A common stock as reported on NYSE</w:t>
            </w:r>
          </w:p>
        </w:tc>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6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Outstanding PSUs are reserved based on maximum potential payout.</w:t>
      </w:r>
    </w:p>
    <w:p>
      <w:pPr>
        <w:pStyle w:val="TextBody"/>
        <w:bidi w:val="0"/>
        <w:spacing w:lineRule="auto" w:line="268" w:before="0" w:after="0"/>
        <w:jc w:val="both"/>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Reflects shares of our Class A common stock remaining available for issuance under the 2022 Plan as of August 17, 2026.</w:t>
      </w:r>
    </w:p>
    <w:p>
      <w:pPr>
        <w:pStyle w:val="TextBody"/>
        <w:bidi w:val="0"/>
        <w:spacing w:lineRule="auto" w:line="268" w:before="0" w:after="0"/>
        <w:jc w:val="both"/>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16"/>
        </w:rPr>
        <w:t xml:space="preserve">Reflects shares of our Class A common stock remaining available for issuance under the 2022 Earn Out Plan as of August 17, 2026.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Usage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annual share usage, or burn rate, under the 2022 Plan and the 2022 Earn Out Plan for the last three fiscal years was as follows:</w:t>
      </w:r>
    </w:p>
    <w:tbl>
      <w:tblPr>
        <w:tblW w:w="10205" w:type="dxa"/>
        <w:jc w:val="left"/>
        <w:tblInd w:w="0" w:type="dxa"/>
        <w:tblLayout w:type="fixed"/>
        <w:tblCellMar>
          <w:top w:w="28" w:type="dxa"/>
          <w:left w:w="28" w:type="dxa"/>
          <w:bottom w:w="28" w:type="dxa"/>
          <w:right w:w="28" w:type="dxa"/>
        </w:tblCellMar>
      </w:tblPr>
      <w:tblGrid>
        <w:gridCol w:w="1128"/>
        <w:gridCol w:w="814"/>
        <w:gridCol w:w="817"/>
        <w:gridCol w:w="109"/>
        <w:gridCol w:w="109"/>
        <w:gridCol w:w="109"/>
        <w:gridCol w:w="593"/>
        <w:gridCol w:w="593"/>
        <w:gridCol w:w="292"/>
        <w:gridCol w:w="109"/>
        <w:gridCol w:w="109"/>
        <w:gridCol w:w="109"/>
        <w:gridCol w:w="593"/>
        <w:gridCol w:w="593"/>
        <w:gridCol w:w="292"/>
        <w:gridCol w:w="109"/>
        <w:gridCol w:w="109"/>
        <w:gridCol w:w="109"/>
        <w:gridCol w:w="593"/>
        <w:gridCol w:w="593"/>
        <w:gridCol w:w="292"/>
        <w:gridCol w:w="109"/>
        <w:gridCol w:w="109"/>
        <w:gridCol w:w="109"/>
        <w:gridCol w:w="593"/>
        <w:gridCol w:w="593"/>
        <w:gridCol w:w="518"/>
      </w:tblGrid>
      <w:tr>
        <w:trPr/>
        <w:tc>
          <w:tcPr>
            <w:tcW w:w="11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Average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 Stock Options/SARs Granted During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2,936,000 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978,667 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 – Full-Value Awards (RSUs) Granted During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4,885,277 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4,507,710 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8,135,895 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5,842,961 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 – Full-Value Awards (PSUs ) Vested During the Fiscal Year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615,130 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205,043 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414,344,822 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409,144,863 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399,037,805 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407,509,163 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Burn Rate (A + B + C) /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0"/>
        </w:rPr>
        <w:t>PSUs were granted and vested under the 2022 Plan in each of the last three fiscal years as follows:</w:t>
      </w:r>
    </w:p>
    <w:tbl>
      <w:tblPr>
        <w:tblW w:w="4906" w:type="dxa"/>
        <w:jc w:val="left"/>
        <w:tblInd w:w="0" w:type="dxa"/>
        <w:tblLayout w:type="fixed"/>
        <w:tblCellMar>
          <w:top w:w="28" w:type="dxa"/>
          <w:left w:w="28" w:type="dxa"/>
          <w:bottom w:w="28" w:type="dxa"/>
          <w:right w:w="28" w:type="dxa"/>
        </w:tblCellMar>
      </w:tblPr>
      <w:tblGrid>
        <w:gridCol w:w="1147"/>
        <w:gridCol w:w="1012"/>
        <w:gridCol w:w="1021"/>
        <w:gridCol w:w="109"/>
        <w:gridCol w:w="109"/>
        <w:gridCol w:w="109"/>
        <w:gridCol w:w="524"/>
        <w:gridCol w:w="526"/>
        <w:gridCol w:w="349"/>
      </w:tblGrid>
      <w:tr>
        <w:trPr/>
        <w:tc>
          <w:tcPr>
            <w:tcW w:w="114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ind w:left="0" w:right="0" w:hanging="31"/>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2"/>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2,887,500 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(62,500)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Non-Vested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2,825,000 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790,788 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(1,055,809)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Non-Vested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2,559,979 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403,332 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(615,130)</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(264,029)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Non-Vested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2,084,152 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determining the number of additional shares of our Class A common stock to reserve for issuance under the Amendment, we took into account a variety of factors, including the need to adequately and appropriately incentivize our officers, employees, non-employee directors and consultants and to ensure that the interests of those individuals continue to be closely aligned with the interests of our stockholders more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Company intends to issue awards under the 2022 Plan in the future to eligible recipients as a recruiting and retention tool, specific parameters have not been established under the 2022 Plan regarding future grants to eligible recipients. The Board of Directors or the Compensation Committee will determine the specific criteria surrounding awards under the 2022 Plan. See below under “Summary of 2022 Plan Terms and Amendment” for a summary of the material features of the 2022 Plan, including the Amendment.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Summary of the Material Terms of the 2022 Plan and the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Securities to be Offered</w:t>
      </w:r>
      <w:r>
        <w:rPr>
          <w:rFonts w:ascii="Times New Roman;serif" w:hAnsi="Times New Roman;serif"/>
          <w:b w:val="false"/>
          <w:color w:val="000000"/>
          <w:sz w:val="20"/>
        </w:rPr>
        <w:t>. Subject to adjustment as provided in the 2022 Plan, a maximum of up to 46,157,996 shares of Class A common stock (as increased by the Amendment) will be reserved and available for issuance under the 2022 Plan for the remaining duration of the ten (10) year term of the 2022 Plan.</w:t>
      </w:r>
      <w:r>
        <w:rPr>
          <w:color w:val="000000"/>
        </w:rPr>
        <w:t xml:space="preserve"> </w:t>
      </w:r>
      <w:r>
        <w:rPr>
          <w:rFonts w:ascii="Times New Roman;serif" w:hAnsi="Times New Roman;serif"/>
          <w:b w:val="false"/>
          <w:color w:val="000000"/>
          <w:sz w:val="20"/>
        </w:rPr>
        <w:t xml:space="preserve">Shares of Class A common stock subject to an award under the 2022 Plan that remain unissued upon the cancellation, expiration, repurchase, forfeiture, surrender, exchange or termination of the award will again become available for grant under the 2022 Plan. Shares of Class A common stock that are withheld from any award granted under the 2022 Plan in payment of the exercise, base or purchase price or taxes relating to the award will be available for future awards under the 2022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Plan Administration</w:t>
      </w:r>
      <w:r>
        <w:rPr>
          <w:rFonts w:ascii="Times New Roman;serif" w:hAnsi="Times New Roman;serif"/>
          <w:b w:val="false"/>
          <w:color w:val="000000"/>
          <w:sz w:val="20"/>
        </w:rPr>
        <w:t>. The 2022 Plan may be administered by the Board of Directors, the Compensation Committee or any committee of the Board of Directors of no fewer than two members of the Board of Directors who are appointed by the Board of Directors to administer the 2022 Plan (the Board of Directors or committee referred to above being sometimes referred to as the plan administrator).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administrator has broad discretion to administer the 2022 Plan, including the power to select the officers, employees, non-employee directors and consultants who will receive awards, determine the restrictions, terms and conditions of those awards, interpret the 2022 Plan and terms of the awards, adopt rules for the administration, interpretation and application of the 2022 Plan, make all determinations with respect to a participant’s service and the termination of such service for purposes of any award, correct any defect or omission or reconcile any ambiguity or inconsistency in the 2022 Plan or any award, make all determinations it deems advisable for the administration of the 2022 Plan, decide all disputes arising in connection with the 2022 Plan and to otherwise supervise the administration of the 2022 Plan, subject to the terms of the 2022 Plan, amend the terms of an award, accelerate the vesting or, to the extent applicable, exercisability or lapse of restrictions of any award at any time and adopt such procedures, modifications or subplans as are necessary or appropriate to permit participation in the 2022 Plan by eligible participants who are foreign nationals or provide services outside of the United States. The 2022 Plan expressly prohibits the repricing or cash buyout of underwater stock options or SARs without stockholder approval.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Eligibility</w:t>
      </w:r>
      <w:r>
        <w:rPr>
          <w:rFonts w:ascii="Times New Roman;serif" w:hAnsi="Times New Roman;serif"/>
          <w:b w:val="false"/>
          <w:color w:val="000000"/>
          <w:sz w:val="20"/>
        </w:rPr>
        <w:t>. As of August 17, 2026, (i) approximately 1,600 employees (including officers) were eligible to receive awards under the 2022 Plan; (ii) 2 non-employee directors were eligible to receive awards under the 2022 Plan; and (iii) no consultants were eligible to receive awards under the 2022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Grants to Non-Employee Directors</w:t>
      </w:r>
      <w:r>
        <w:rPr>
          <w:rFonts w:ascii="Times New Roman;serif" w:hAnsi="Times New Roman;serif"/>
          <w:b w:val="false"/>
          <w:color w:val="000000"/>
          <w:sz w:val="20"/>
        </w:rPr>
        <w:t>. The 2022 Plan provides that no non-employee director may be granted, during any calendar year, awards having a fair value (determined on the date of grant) that, when added to all other cash compensation received in respect of service as a member of the Board of Directors for such calendar year, exceeds $500,000.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Stock Options</w:t>
      </w:r>
      <w:r>
        <w:rPr>
          <w:rFonts w:ascii="Times New Roman;serif" w:hAnsi="Times New Roman;serif"/>
          <w:b w:val="false"/>
          <w:color w:val="000000"/>
          <w:sz w:val="20"/>
        </w:rPr>
        <w:t>. The Company may issue stock options under the 2022 Plan. Options granted under the 2022 Plan may be in the form of non-qualified options or “incentive stock options” within the meaning of Section 422 of the United States Internal Revenue Code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as set forth in the applicable individual option award agreement. All of the shares of Class A common stock reserved for issuance under the 2022 Plan may be granted as incentive stock options. The exercise price of all stock options granted under the 2022 Plan will be determined by the plan administrator, but, except with respect to any substitute award, in no event may the exercise price be less than 100% of the fair market value of the related shares of Class A common stock on the date of grant. In the case of an incentive stock option granted to an individual who owns shares representing more than 10% of the total combined voting power of all classes of our equity securities, the exercise price of the stock option must be at least 110% of the fair market value of a share of Class A common stock on the date of grant and the stock option must not be exercisable more than five years from the date of grant. The maximum term of all stock options granted under the 2022 Plan will be determined by the plan administrator but may not exceed ten years. Each stock option will vest and become exercisable at such time and subject to such terms and conditions as determined by the plan administrator in the applicable individual stock option agreement. A participant with stock options will generally not have any rights of a stockholder with respect to the shares underlying the stock options until such time as the shares of Class A common stock are delivered to the participant.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SARs</w:t>
      </w:r>
      <w:r>
        <w:rPr>
          <w:rFonts w:ascii="Times New Roman;serif" w:hAnsi="Times New Roman;serif"/>
          <w:b w:val="false"/>
          <w:color w:val="000000"/>
          <w:sz w:val="20"/>
        </w:rPr>
        <w:t>. SARs may be granted under the 2022 Plan, which may be granted on a basis that allows for the exercise of the right by its holder, or that provides for the automatic exercise or payment of the right upon a specified date or event. A SAR granted under the 2022 Plan entitles its holder to receive, at the time of exercise or upon payment, an amount per share equal to the excess of the fair market value (at the date of exercise) of a share of Class A common stock over the base price of the SAR. The plan administrator may determine to settle a SAR in cash or shares of Class A common stock (or in any combination of shares of Class A common stock and cash). Except with respect to substituted or assumed SARs, each SAR will generally be granted with a base price that is not less than 100% of the fair market value of the related shares of Class A common stock on the date of grant. The maximum term of all SARs granted under the 2022 Plan will be determined by the plan administrator but may not exceed ten years. A participant with SARs will generally not have any rights as a stockholder with respect to the shares underlying a SAR unless and until such time as shares of Class A common stock are delivered to the participant.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RSUs; Restricted Stock</w:t>
      </w:r>
      <w:r>
        <w:rPr>
          <w:rFonts w:ascii="Times New Roman;serif" w:hAnsi="Times New Roman;serif"/>
          <w:b w:val="false"/>
          <w:color w:val="000000"/>
          <w:sz w:val="20"/>
        </w:rPr>
        <w:t>. RSUs and restricted stock may be granted under the 2022 Plan. The plan administrator will determine the purchase price, vesting schedule and performance objectives, if any, applicable to the grant of RSUs and restricted stock (RSUs that are subject to the achievement of performance objectives are sometimes referred to as PSUs). Unless otherwise determined by the plan administrator, if the restrictions, performance objectives or other conditions determined by the plan administrator are not satisfied, the RSUs and restricted stock will be forfeited. Unless the applicable award agreement provides otherwise, participants with restricted stock will generally have all of the rights of a stockholder during the restricted period, including the right to vote and receive dividends declared with respect to such restricted stock. Any dividends or dividend equivalents awarded with respect to restricted stock or RSUs will be subject to the same restrictions, conditions and risks of forfeiture as the underlying restricted stock or RSU. During the restricted period, participants with RSUs will generally not have any of the rights of a stockholder, but, if the applicable individual award agreement so provides, participants with RSUs may be credited with dividend equivalent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Other Stock-Based Awards. </w:t>
      </w:r>
      <w:r>
        <w:rPr>
          <w:rFonts w:ascii="Times New Roman;serif" w:hAnsi="Times New Roman;serif"/>
          <w:b w:val="false"/>
          <w:color w:val="000000"/>
          <w:sz w:val="20"/>
        </w:rPr>
        <w:t xml:space="preserve">Other stock-based awards may be granted under the 2022 Plan, valued by reference to, or otherwise based on, shares of Class A common stock. Other stock-based awards may be granted for past services, in lieu of bonus or other cash compensation, as directors’ compensation or for any other valid purpose as determined by the plan administrator. The plan administrator will determine the terms and conditions of other stock-based awards, and such awards may be made without vesting requirements. In addition, the plan administrator may, in connection with any other stock-based award, require the payment of a specified purchase price. Any dividend or dividend equivalent rights awarded with respect to other stock-based awards will be subject to the same restrictions, conditions and risks of forfeiture as the underlying other stock-based award.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Cash Awards</w:t>
      </w:r>
      <w:r>
        <w:rPr>
          <w:rFonts w:ascii="Times New Roman;serif" w:hAnsi="Times New Roman;serif"/>
          <w:b w:val="false"/>
          <w:color w:val="000000"/>
          <w:sz w:val="20"/>
        </w:rPr>
        <w:t>. Awards that are payable solely in cash may also be granted under the 2022 Plan. Cash awards may be granted subject to the satisfaction of vesting conditions or may be awarded purely as a bonus and not subject to restrictions or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Substitute Awards</w:t>
      </w:r>
      <w:r>
        <w:rPr>
          <w:rFonts w:ascii="Times New Roman;serif" w:hAnsi="Times New Roman;serif"/>
          <w:b w:val="false"/>
          <w:color w:val="000000"/>
          <w:sz w:val="20"/>
        </w:rPr>
        <w:t>. Substitute awards may be granted under the 2022 Plan, which includes shares of Class A common stock issued by the Company in assumption of, or in substitution or exchange for, awards previously granted by a company acquired by the Company or with which the Company or any subsidiary or affiliate thereof combines. Substitute awards will not be counted against the total number of shares of Class A common stock available for grants under the 2022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Equitable Adjustment; Treatment upon Change in Control</w:t>
      </w:r>
      <w:r>
        <w:rPr>
          <w:rFonts w:ascii="Times New Roman;serif" w:hAnsi="Times New Roman;serif"/>
          <w:b w:val="false"/>
          <w:color w:val="000000"/>
          <w:sz w:val="20"/>
        </w:rPr>
        <w:t>. In the event of any change with respect to the outstanding shares of Class A common stock by reason of any recapitalization, reclassification, stock dividend, extraordinary cash dividend, stock split, reverse stock split or other distribution with respect to the shares of Class A common stock or any merger, reorganization, consolidation, combination, spin-off or other corporate event or transaction or any other change affecting the Class A common stock (other than regular cash dividends to stockholders of the Company), the plan administrator is required to, in the manner and to the extent it considers appropriate and equitable to the participants and consistent with the terms of the 2022 Plan, cause an adjustment to be made to (i) the maximum number and kind of shares of Class A common stock or other securities provided in the 2022 Plan, (ii) the number and kind of shares of Class A common stock, units or other securities or rights subject to then outstanding awards, (iii) the exercise, base or purchase price for each share or unit or other security or right subject to then outstanding awards, (iv) other value determinations applicable to the 2022 Plan and/or outstanding awards, and/or (v) any other terms of an award that are affected by the event.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applicable award agreement provides otherwise, in the event of a “change in control” (as defined in the 2022 Plan) all outstanding awards under the 2022 Plan may be treated in accordance with one or more of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methods as determined in the plan administrator’s sole discretion: (i) be (x) continued or assumed by the Company (if it is the surviving company or corporation) or by the surviving company or corporation or its parent (with such continuation or assumption including conversion into the right to receive securities, cash or a combination of both), or (y) substituted by the surviving company or corporation or its parent for awards with substantially similar terms for outstanding awards (with appropriate adjustments to the type of consideration payable upon settlement of the awards or other relevant factors, and with any applicable performance conditions deemed achieved for any completed performance period, based on actual performance, as determined by the plan administrator or for any partial or future performance period, at a level performance determined by the plan administrator (with the award remaining subject only to time vesting), (ii) acceleration of exercisability, vesting and/or payment of outstanding awards immediately prior to or upon or following such event, (iii) upon written notice, providing that any outstanding stock options and SARs are exercisable during a period of time immediately prior to the scheduled consummation of the event or such other period as determined by the plan administrator (contingent upon the consummation of the event), and at the end of such period, such stock options and SARs will terminate to the extent not so exercised within the relevant period, or (iv) cancellation of all or any portion of outstanding awards for fair value (in the form of cash, Class A common stock, other property or any combination thereof) as determined in the sole discretion of the plan administrator. In the case of stock options and SARs or similar awards, the fair value may equal the excess, if any, of the value or amount of the consideration to be paid in the change in control transaction to holders of shares of Class A common stock (or, if no such consideration is paid, fair market value of the shares of Class A common stock) over the aggregate exercise or base price, as applicable, with respect to such awards or portion thereof being canceled, or if there is no such excess, awards may be cancelled for no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determined by the plan administrator in its discretion at any time including as set forth in an award agreement, if a participant’s service is terminated upon or within six months following a change in control, or such longer period as the plan administrator determines which may be prior to, as of or following a change in control, by the Company without cause or upon such other circumstances as determined by the plan administrator, the unvested portion (if any) of all outstanding awards held by the participant will immediately vest (and, to the extent applicable, become exercisable) and be paid in full upon such termination, with any performance conditions deemed achieved for any completed performance period, based on actual performance, or for any partial or future performance period, at the greater of the target level or actual performance, unless otherwise provided in an award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Clawback</w:t>
      </w:r>
      <w:r>
        <w:rPr>
          <w:rFonts w:ascii="Times New Roman;serif" w:hAnsi="Times New Roman;serif"/>
          <w:b w:val="false"/>
          <w:color w:val="000000"/>
          <w:sz w:val="20"/>
        </w:rPr>
        <w:t xml:space="preserve">. If at any time within one year (or such longer time specified in an award agreement or other agreement with a participant or policy applicable to the participant) after the date on which a participant exercises a stock option or SAR or on which a stock-based award, restricted stock award or RSU vests, is settled in shares or otherwise becomes payable, or on which income otherwise is realized or property is received by a participant in connection with an award, (i) a participant’s service is terminated for cause (as defined in the 2022 Plan), (ii) the plan administrator determines in its discretion that the participant is subject to any recoupment of benefits pursuant to the Company’s compensation recovery, “clawback” or similar policy, as may be in effect from time to time, or (iii) after a participant’s service terminates for any other reason, the plan administrator determines in its discretion either that, during the participant’s period of service, the participant engaged in an act or omission which would have warranted termination of the participant’s service for cause or after a participant’s termination of service, the participant engaged in conduct that violated any continuing obligation or duty of the participant in respect of the Company or any subsidiary, then, at the sole discretion of the plan administrator, any gain realized by the participant from the exercise, vesting, payment, settlement or other realization of income or receipt of property by the participant in connection with an award, will be repaid by the participant to the Company upon notice from the Company, subject to applicable law.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a participant receives compensation pursuant to an award under the 2022 Plan based on financial 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Tax Withholding</w:t>
      </w:r>
      <w:r>
        <w:rPr>
          <w:rFonts w:ascii="Times New Roman;serif" w:hAnsi="Times New Roman;serif"/>
          <w:b w:val="false"/>
          <w:color w:val="000000"/>
          <w:sz w:val="20"/>
        </w:rPr>
        <w:t>. Each participant is responsible for payment of any taxes or similar charges required by law to be paid or withheld from an award or an amount paid in satisfaction of an award. Any required withholdings will be paid by the participant on or prior to the payment or other event that results in taxable income in respect of an</w:t>
      </w:r>
      <w:r>
        <w:rPr>
          <w:color w:val="000000"/>
        </w:rPr>
        <w:t xml:space="preserve"> </w:t>
      </w:r>
      <w:r>
        <w:rPr>
          <w:rFonts w:ascii="Times New Roman;serif" w:hAnsi="Times New Roman;serif"/>
          <w:b w:val="false"/>
          <w:color w:val="000000"/>
          <w:sz w:val="20"/>
        </w:rPr>
        <w:t xml:space="preserve">award. The award agreement may specify the manner in which the withholding obligation will be satisfied with respect to the particular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award, which may include, to the extent permitted by the plan administrator in its sole discretion, permitting the participant to elect to satisfy the withholding obligation by tendering shares of Class A common stock to the Company or having the Company withhold a number of shares of Class A common stock having a value in each case up to the maximum statutory tax rates in the applicable jurisdiction or as the plan administrator may approve in its discretion (provided that such withholding does not result in adverse tax or accounting consequences to the Company), or similar charge required to be paid or withheld. In addition, to the extent permitted by the plan administrator in its sole discretion in an award agreement or otherwise, and subject to Section 16 of the Exchange Act, withholding may be satisfied through an open-market, broker-assisted sales transaction pursuant to which the Company is promptly delivered the amount of proceeds necessary to satisfy the withholding amount, which will be subject to any terms and conditions imposed by the plan administrator. The Company has the power and the right to require a participant to remit to the Company the amount necessary to satisfy federal, state, provincial and local taxes, domestic or foreign, required by law or regulation to be withheld, and to deduct or withhold from any shares of Class A common stock deliverable under an award to satisfy such withholding obligation.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Plan Amendment and Termination</w:t>
      </w:r>
      <w:r>
        <w:rPr>
          <w:rFonts w:ascii="Times New Roman;serif" w:hAnsi="Times New Roman;serif"/>
          <w:b w:val="false"/>
          <w:color w:val="000000"/>
          <w:sz w:val="20"/>
        </w:rPr>
        <w:t xml:space="preserve">. The 2022 Plan provides the Board of Directors with authority to amend, modify, suspend or terminate the 2022 Plan, but no such action may materially and adversely affect any award without the consent of the participant or the permitted transferee of the award.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Plan Term</w:t>
      </w:r>
      <w:r>
        <w:rPr>
          <w:rFonts w:ascii="Times New Roman;serif" w:hAnsi="Times New Roman;serif"/>
          <w:b w:val="false"/>
          <w:color w:val="000000"/>
          <w:sz w:val="20"/>
        </w:rPr>
        <w:t>. The 2022 Plan will terminate on the tenth anniversary of the effective date of the 2022 Plan, although awards granted before that time will remain outstanding in accordance with their terms.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Summary of U.S. Federal Income Tax Consequences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certain United States federal income tax consequences of awards granted to individual service providers under the 2022 Plan. It does not purport to be a complete description of all applicable rules, and those rules (including those summarized here) are subject to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RSUs. </w:t>
      </w:r>
      <w:r>
        <w:rPr>
          <w:rFonts w:ascii="Times New Roman;serif" w:hAnsi="Times New Roman;serif"/>
          <w:b w:val="false"/>
          <w:color w:val="000000"/>
          <w:sz w:val="20"/>
        </w:rPr>
        <w:t xml:space="preserve">In general, the grant of RSUs (including PSUs) will not result in income for the participant or in a tax deduction for us. Upon the settlement of such an award in shares of Class A common stock or cash, the participant will recognize ordinary income equal to the aggregate value of the payment received, and we generally will be entitled to a tax deduction at the same time and in the same amount.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Restricted Stock. </w:t>
      </w:r>
      <w:r>
        <w:rPr>
          <w:rFonts w:ascii="Times New Roman;serif" w:hAnsi="Times New Roman;serif"/>
          <w:b w:val="false"/>
          <w:color w:val="000000"/>
          <w:sz w:val="20"/>
        </w:rPr>
        <w:t>A participant generally will not be taxed upon the grant of restricted stock, but rather will recognize ordinary income in an amount equal to the fair market value of the shares of Class A common stock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stock before the restrictions lapse will be taxable to the participant as additional compensation (and not as dividend income). Under Section 83(b) of the Code, a participant may elect to recognize ordinary income at the time the shares of restricted stock are awarded in an amount equal to their fair market value at that time, notwithstanding the fact that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that, ordinary income is recognized by such participant.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Stock Options. </w:t>
      </w:r>
      <w:r>
        <w:rPr>
          <w:rFonts w:ascii="Times New Roman;serif" w:hAnsi="Times New Roman;serif"/>
          <w:b w:val="false"/>
          <w:color w:val="000000"/>
          <w:sz w:val="20"/>
        </w:rPr>
        <w:t>An optionee generally will not recognize taxable income upon the grant of a nonqualified option. Rather, at the time of exercise of the option, the optionee will recognize ordinary income for income tax purposes in an amount equal to the excess, if any, of the fair market value of the shares of Class A common stock purchased over the exercise price. We generally will be entitled to a tax deduction at such time and in the same amount, if any, that the optionee recognizes as ordinary income. The optionee’s tax basis in any shares of Class A common stock received upon exercise of an option will be the fair market value of the shares of Class A common stock on the date of exercise, and if the shares of Class A common stock are later sold or exchanged, then the difference between the amount received upon such sale or exchange and the fair market value of such shares of Class A common stock on the date of exercise will generally be taxable as long-term or short-term capital gain or loss (if the shares are a capital asset of the optionee) depending upon the length of time such shares of Class A common stock were held by the optionee.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Incentive stock options are eligible for favorable federal income tax treatment if certain requirements are satisfied. An incentive stock option must have an option price that is not less than the fair market value of the shares of Class A common stock at the time the option is granted and must be exercisable within ten years from the date of grant. An employee granted an incentive stock option generally does not realize compensation income for federal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purposes upon the grant of the option. At the time of exercise of an incentive stock option, no compensation income is realized by the optionee other than tax preference income for purposes of the federal alternative minimum tax on individual income. If the shares of Class A common stock acquired on exercise of an incentive stock option are held for at least two years after grant of the option and one year after exercise, the excess of the amount realized on the sale over the exercise price will be taxed as capital gain. If the shares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Stock Appreciation Rights. </w:t>
      </w:r>
      <w:r>
        <w:rPr>
          <w:rFonts w:ascii="Times New Roman;serif" w:hAnsi="Times New Roman;serif"/>
          <w:b w:val="false"/>
          <w:color w:val="000000"/>
          <w:sz w:val="20"/>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of Class A common stock received. We generally will be entitled to a tax deduction at such time and in the same amount, if any, that the participant recognizes as ordinary income. The participant’s tax basis in any shares of Class A common stock received upon exercise of a SAR will be the fair market value of the shares of Class A common stock on the date of exercise, and if the shares are later sold or exchanged, then the difference between the amount received upon such sale or exchange and the fair market value of such shares of Class A common stock on the date of exercise will generally be taxable as long-term or short-term capital gain or loss (if the shares are a capital asset of the participant) depending upon the length of time such shares of Class A common stock were held by the participant.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Other Awards. </w:t>
      </w:r>
      <w:r>
        <w:rPr>
          <w:rFonts w:ascii="Times New Roman;serif" w:hAnsi="Times New Roman;serif"/>
          <w:b w:val="false"/>
          <w:color w:val="000000"/>
          <w:sz w:val="20"/>
        </w:rPr>
        <w:t>With respect to other awards granted under the 2022 Plan, including other stock-based awards and cash awards, generally when the participant receives payment with respect to an award, the amount of cash and/or the fair market value of any shares of Class A common stock or other property received will be ordinary income to the participant, and we generally will be entitled to a tax deduction at the same time and in the same amount.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Registration with the SEC</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file with the SEC a registration statement on Form S-8 covering the shares reserved for issuance under the Amendment.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Plan Benefits Table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awards made under the 2022 Plan were granted subject to stockholder approval of the Amendment. Future awards to be made under the 2022 Plan are subject to the discretion of the plan administrator, and accordingly, are not currently determinable.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Existing Plan Benefits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outstanding aggregate number of shares subject to equity awards under the 2022 Plan since its inception through August 17, 2026, is set forth in the table below.</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02"/>
        <w:gridCol w:w="727"/>
        <w:gridCol w:w="729"/>
        <w:gridCol w:w="538"/>
        <w:gridCol w:w="471"/>
        <w:gridCol w:w="657"/>
        <w:gridCol w:w="465"/>
        <w:gridCol w:w="397"/>
        <w:gridCol w:w="844"/>
        <w:gridCol w:w="782"/>
        <w:gridCol w:w="490"/>
        <w:gridCol w:w="1043"/>
        <w:gridCol w:w="444"/>
        <w:gridCol w:w="424"/>
        <w:gridCol w:w="1092"/>
      </w:tblGrid>
      <w:tr>
        <w:trPr/>
        <w:tc>
          <w:tcPr>
            <w:tcW w:w="110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5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16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1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Average Per Share Exercise Price($)</w:t>
            </w:r>
          </w:p>
        </w:tc>
        <w:tc>
          <w:tcPr>
            <w:tcW w:w="23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 xml:space="preserve">Number of Shares Subject to Other Stock Awards </w:t>
            </w:r>
            <w:r>
              <w:rPr>
                <w:rFonts w:ascii="Times New Roman;serif" w:hAnsi="Times New Roman;serif"/>
                <w:b/>
                <w:color w:val="000000"/>
                <w:sz w:val="13"/>
              </w:rPr>
              <w:t>(1)</w:t>
            </w:r>
          </w:p>
        </w:tc>
        <w:tc>
          <w:tcPr>
            <w:tcW w:w="1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 xml:space="preserve">Market Value of Shares Subject to Awards </w:t>
            </w:r>
            <w:r>
              <w:rPr>
                <w:rFonts w:ascii="Times New Roman;serif" w:hAnsi="Times New Roman;serif"/>
                <w:b/>
                <w:color w:val="000000"/>
                <w:sz w:val="13"/>
              </w:rPr>
              <w:t xml:space="preserve">(2) </w:t>
            </w:r>
            <w:r>
              <w:rPr>
                <w:rFonts w:ascii="Times New Roman;serif" w:hAnsi="Times New Roman;serif"/>
                <w:b/>
                <w:color w:val="000000"/>
                <w:sz w:val="20"/>
              </w:rPr>
              <w:t>($)</w:t>
            </w:r>
          </w:p>
        </w:tc>
      </w:tr>
      <w:tr>
        <w:trPr/>
        <w:tc>
          <w:tcPr>
            <w:tcW w:w="25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Craig Peters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1,269,743 </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839,750 </w:t>
            </w:r>
          </w:p>
        </w:tc>
        <w:tc>
          <w:tcPr>
            <w:tcW w:w="10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235,130</w:t>
            </w:r>
          </w:p>
        </w:tc>
      </w:tr>
      <w:tr>
        <w:trPr/>
        <w:tc>
          <w:tcPr>
            <w:tcW w:w="2558"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Mikael Cho</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CEO, Unsplash</w:t>
            </w:r>
          </w:p>
        </w:tc>
        <w:tc>
          <w:tcPr>
            <w:tcW w:w="1009"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57"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62"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44"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72"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319,950 </w:t>
            </w:r>
          </w:p>
        </w:tc>
        <w:tc>
          <w:tcPr>
            <w:tcW w:w="1043"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89,586</w:t>
            </w:r>
          </w:p>
        </w:tc>
      </w:tr>
      <w:tr>
        <w:trPr/>
        <w:tc>
          <w:tcPr>
            <w:tcW w:w="2558"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Grant Farhall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Product Officer</w:t>
            </w:r>
          </w:p>
        </w:tc>
        <w:tc>
          <w:tcPr>
            <w:tcW w:w="1009"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306,400 </w:t>
            </w:r>
          </w:p>
        </w:tc>
        <w:tc>
          <w:tcPr>
            <w:tcW w:w="657"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62"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844"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72"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499,875 </w:t>
            </w:r>
          </w:p>
        </w:tc>
        <w:tc>
          <w:tcPr>
            <w:tcW w:w="1043"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139,965</w:t>
            </w:r>
          </w:p>
        </w:tc>
      </w:tr>
      <w:tr>
        <w:trPr/>
        <w:tc>
          <w:tcPr>
            <w:tcW w:w="2558"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Gene Foca</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Marketing and Revenue Officer</w:t>
            </w:r>
          </w:p>
        </w:tc>
        <w:tc>
          <w:tcPr>
            <w:tcW w:w="1009"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350,953 </w:t>
            </w:r>
          </w:p>
        </w:tc>
        <w:tc>
          <w:tcPr>
            <w:tcW w:w="657"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62"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844"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72"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499,875 </w:t>
            </w:r>
          </w:p>
        </w:tc>
        <w:tc>
          <w:tcPr>
            <w:tcW w:w="1043"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139,965</w:t>
            </w:r>
          </w:p>
        </w:tc>
      </w:tr>
      <w:tr>
        <w:trPr/>
        <w:tc>
          <w:tcPr>
            <w:tcW w:w="2558"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Nate Gandert</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Technology Officer</w:t>
            </w:r>
          </w:p>
        </w:tc>
        <w:tc>
          <w:tcPr>
            <w:tcW w:w="1009"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531,124 </w:t>
            </w:r>
          </w:p>
        </w:tc>
        <w:tc>
          <w:tcPr>
            <w:tcW w:w="657"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62"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844"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72"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499,875 </w:t>
            </w:r>
          </w:p>
        </w:tc>
        <w:tc>
          <w:tcPr>
            <w:tcW w:w="1043"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139,965</w:t>
            </w:r>
          </w:p>
        </w:tc>
      </w:tr>
      <w:tr>
        <w:trPr/>
        <w:tc>
          <w:tcPr>
            <w:tcW w:w="2558" w:type="dxa"/>
            <w:gridSpan w:val="3"/>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Chris Hoel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Vice President, Chief Accounting Officer</w:t>
            </w:r>
          </w:p>
        </w:tc>
        <w:tc>
          <w:tcPr>
            <w:tcW w:w="1009" w:type="dxa"/>
            <w:gridSpan w:val="2"/>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657" w:type="dxa"/>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62" w:type="dxa"/>
            <w:gridSpan w:val="2"/>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844" w:type="dxa"/>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72" w:type="dxa"/>
            <w:gridSpan w:val="2"/>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110,950 </w:t>
            </w:r>
          </w:p>
        </w:tc>
        <w:tc>
          <w:tcPr>
            <w:tcW w:w="1043" w:type="dxa"/>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0" w:type="dxa"/>
            <w:gridSpan w:val="3"/>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31,066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color w:val="003366"/>
        </w:rPr>
      </w:pPr>
      <w:r>
        <w:rPr>
          <w:color w:val="003366"/>
        </w:rPr>
        <w:t> </w:t>
      </w:r>
    </w:p>
    <w:tbl>
      <w:tblPr>
        <w:tblW w:w="10205" w:type="dxa"/>
        <w:jc w:val="left"/>
        <w:tblInd w:w="0" w:type="dxa"/>
        <w:tblLayout w:type="fixed"/>
        <w:tblCellMar>
          <w:top w:w="28" w:type="dxa"/>
          <w:left w:w="28" w:type="dxa"/>
          <w:bottom w:w="28" w:type="dxa"/>
          <w:right w:w="28" w:type="dxa"/>
        </w:tblCellMar>
      </w:tblPr>
      <w:tblGrid>
        <w:gridCol w:w="2196"/>
        <w:gridCol w:w="1884"/>
        <w:gridCol w:w="1890"/>
        <w:gridCol w:w="488"/>
        <w:gridCol w:w="488"/>
        <w:gridCol w:w="230"/>
        <w:gridCol w:w="255"/>
        <w:gridCol w:w="256"/>
        <w:gridCol w:w="230"/>
        <w:gridCol w:w="540"/>
        <w:gridCol w:w="541"/>
        <w:gridCol w:w="230"/>
        <w:gridCol w:w="284"/>
        <w:gridCol w:w="284"/>
        <w:gridCol w:w="409"/>
      </w:tblGrid>
      <w:tr>
        <w:trPr/>
        <w:tc>
          <w:tcPr>
            <w:tcW w:w="219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Jerry Jenkins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Human Resources Officer</w:t>
            </w:r>
          </w:p>
        </w:tc>
        <w:tc>
          <w:tcPr>
            <w:tcW w:w="976"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135,136 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37,838</w:t>
            </w:r>
          </w:p>
        </w:tc>
      </w:tr>
      <w:tr>
        <w:trPr/>
        <w:tc>
          <w:tcPr>
            <w:tcW w:w="59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w:t>
            </w:r>
          </w:p>
        </w:tc>
        <w:tc>
          <w:tcPr>
            <w:tcW w:w="97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143,459 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479,925 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134,379</w:t>
            </w:r>
          </w:p>
        </w:tc>
      </w:tr>
      <w:tr>
        <w:trPr/>
        <w:tc>
          <w:tcPr>
            <w:tcW w:w="59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Jennifer Leyden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w:t>
            </w:r>
          </w:p>
        </w:tc>
        <w:tc>
          <w:tcPr>
            <w:tcW w:w="976"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392,116 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499,875 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139,965</w:t>
            </w:r>
          </w:p>
        </w:tc>
      </w:tr>
      <w:tr>
        <w:trPr/>
        <w:tc>
          <w:tcPr>
            <w:tcW w:w="59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Ken Mainardis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Editorial</w:t>
            </w:r>
          </w:p>
        </w:tc>
        <w:tc>
          <w:tcPr>
            <w:tcW w:w="97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532,629 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204,975 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57,393</w:t>
            </w:r>
          </w:p>
        </w:tc>
      </w:tr>
      <w:tr>
        <w:trPr/>
        <w:tc>
          <w:tcPr>
            <w:tcW w:w="59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Peter Orlowsky</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Strategic Development</w:t>
            </w:r>
          </w:p>
        </w:tc>
        <w:tc>
          <w:tcPr>
            <w:tcW w:w="976"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123,379 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499,875 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139,965</w:t>
            </w:r>
          </w:p>
        </w:tc>
      </w:tr>
      <w:tr>
        <w:trPr/>
        <w:tc>
          <w:tcPr>
            <w:tcW w:w="59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Michael Teaster</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of Staff</w:t>
            </w:r>
          </w:p>
        </w:tc>
        <w:tc>
          <w:tcPr>
            <w:tcW w:w="97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167,467 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204,975 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57,393</w:t>
            </w:r>
          </w:p>
        </w:tc>
      </w:tr>
      <w:tr>
        <w:trPr/>
        <w:tc>
          <w:tcPr>
            <w:tcW w:w="59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Daine Weston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Ecommerce</w:t>
            </w:r>
          </w:p>
        </w:tc>
        <w:tc>
          <w:tcPr>
            <w:tcW w:w="976"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291,815 </w:t>
            </w:r>
          </w:p>
        </w:tc>
        <w:tc>
          <w:tcPr>
            <w:tcW w:w="230" w:type="dxa"/>
            <w:tcBorders>
              <w:top w:val="single" w:sz="8" w:space="0" w:color="A6A6A6"/>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81,708</w:t>
            </w:r>
          </w:p>
        </w:tc>
      </w:tr>
      <w:tr>
        <w:trPr/>
        <w:tc>
          <w:tcPr>
            <w:tcW w:w="59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97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3,856,488 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5,086,851 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1,424,318</w:t>
            </w:r>
          </w:p>
        </w:tc>
      </w:tr>
      <w:tr>
        <w:trPr/>
        <w:tc>
          <w:tcPr>
            <w:tcW w:w="597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directors who are not executive officers as a group</w:t>
            </w:r>
          </w:p>
        </w:tc>
        <w:tc>
          <w:tcPr>
            <w:tcW w:w="976"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62,656 </w:t>
            </w:r>
          </w:p>
        </w:tc>
        <w:tc>
          <w:tcPr>
            <w:tcW w:w="23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17,544</w:t>
            </w:r>
          </w:p>
        </w:tc>
      </w:tr>
      <w:tr>
        <w:trPr/>
        <w:tc>
          <w:tcPr>
            <w:tcW w:w="59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nominees for election as a director as a group</w:t>
            </w:r>
          </w:p>
        </w:tc>
        <w:tc>
          <w:tcPr>
            <w:tcW w:w="97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2,666</w:t>
            </w:r>
          </w:p>
        </w:tc>
      </w:tr>
      <w:tr>
        <w:trPr/>
        <w:tc>
          <w:tcPr>
            <w:tcW w:w="597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associate of any such directors, executive officers or nominees</w:t>
            </w:r>
          </w:p>
        </w:tc>
        <w:tc>
          <w:tcPr>
            <w:tcW w:w="976"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68"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09"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59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other person who received or is to receive 5% of such options, warrants or rights</w:t>
            </w:r>
          </w:p>
        </w:tc>
        <w:tc>
          <w:tcPr>
            <w:tcW w:w="97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1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81"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68"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09"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5970"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employees, including all current officers who are not executive officers, as a group</w:t>
            </w:r>
          </w:p>
        </w:tc>
        <w:tc>
          <w:tcPr>
            <w:tcW w:w="976" w:type="dxa"/>
            <w:gridSpan w:val="2"/>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5,361,826 </w:t>
            </w:r>
          </w:p>
        </w:tc>
        <w:tc>
          <w:tcPr>
            <w:tcW w:w="230" w:type="dxa"/>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741"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81" w:type="dxa"/>
            <w:gridSpan w:val="2"/>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15,440,120 </w:t>
            </w:r>
          </w:p>
        </w:tc>
        <w:tc>
          <w:tcPr>
            <w:tcW w:w="230" w:type="dxa"/>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77"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4,323,234</w:t>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shares issuable pursuant to outstanding RSUs and PSUs (based on maximum performance) under the 2022 Plan. </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Amounts calculated based on $0.28, the approximate closing price of the Company’s</w:t>
      </w:r>
      <w:r>
        <w:rPr>
          <w:color w:val="000000"/>
        </w:rPr>
        <w:t xml:space="preserve"> </w:t>
      </w:r>
      <w:r>
        <w:rPr>
          <w:rFonts w:ascii="Times New Roman;serif" w:hAnsi="Times New Roman;serif"/>
          <w:b w:val="false"/>
          <w:color w:val="000000"/>
          <w:sz w:val="16"/>
        </w:rPr>
        <w:t>Class A common stock, as reported on NYSE on August 17, 2026. Excludes stock options, all of which are out of the money based on the closing price of the Company’s Class A common stock, as reported on NYSE on August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our shares of Class A common stock that may be issued upon the exercise of options, RSUs and PSUs under all of our existing equity compensation plans as of December 31, 2025. </w:t>
      </w:r>
    </w:p>
    <w:tbl>
      <w:tblPr>
        <w:tblW w:w="10205" w:type="dxa"/>
        <w:jc w:val="left"/>
        <w:tblInd w:w="0" w:type="dxa"/>
        <w:tblLayout w:type="fixed"/>
        <w:tblCellMar>
          <w:top w:w="28" w:type="dxa"/>
          <w:left w:w="28" w:type="dxa"/>
          <w:bottom w:w="28" w:type="dxa"/>
          <w:right w:w="28" w:type="dxa"/>
        </w:tblCellMar>
      </w:tblPr>
      <w:tblGrid>
        <w:gridCol w:w="864"/>
        <w:gridCol w:w="623"/>
        <w:gridCol w:w="616"/>
        <w:gridCol w:w="757"/>
        <w:gridCol w:w="724"/>
        <w:gridCol w:w="726"/>
        <w:gridCol w:w="821"/>
        <w:gridCol w:w="821"/>
        <w:gridCol w:w="823"/>
        <w:gridCol w:w="755"/>
        <w:gridCol w:w="755"/>
        <w:gridCol w:w="1920"/>
      </w:tblGrid>
      <w:tr>
        <w:trPr/>
        <w:tc>
          <w:tcPr>
            <w:tcW w:w="8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1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2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Securities to Be Issued upon Exercise of Outstanding Options, Warrants and Rights</w:t>
              <w:br/>
              <w:t>(a)</w:t>
            </w:r>
          </w:p>
        </w:tc>
        <w:tc>
          <w:tcPr>
            <w:tcW w:w="24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of Outstanding Options, Warrants and Rights</w:t>
              <w:br/>
              <w:t>(b)</w:t>
            </w:r>
          </w:p>
        </w:tc>
        <w:tc>
          <w:tcPr>
            <w:tcW w:w="34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Number of Securities Remaining Available for Future Issuance under Equity Compensation Plans (Excluding Securities Reflected in the First Column of this Table)</w:t>
              <w:br/>
              <w:t>(c)</w:t>
            </w:r>
          </w:p>
        </w:tc>
      </w:tr>
      <w:tr>
        <w:trPr/>
        <w:tc>
          <w:tcPr>
            <w:tcW w:w="2103" w:type="dxa"/>
            <w:gridSpan w:val="3"/>
            <w:tcBorders>
              <w:top w:val="single" w:sz="8" w:space="0" w:color="012169"/>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Equity Compensation Plans Approved by Stockholders</w:t>
            </w:r>
          </w:p>
        </w:tc>
        <w:tc>
          <w:tcPr>
            <w:tcW w:w="2207" w:type="dxa"/>
            <w:gridSpan w:val="3"/>
            <w:tcBorders>
              <w:top w:val="single" w:sz="8" w:space="0" w:color="01216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1216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103"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2022 Equity Incentive Plan</w:t>
            </w:r>
          </w:p>
        </w:tc>
        <w:tc>
          <w:tcPr>
            <w:tcW w:w="220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34,534,945</w:t>
            </w:r>
            <w:r>
              <w:rPr>
                <w:rFonts w:ascii="Times New Roman;serif" w:hAnsi="Times New Roman;serif"/>
                <w:b w:val="false"/>
                <w:color w:val="000000"/>
                <w:sz w:val="13"/>
              </w:rPr>
              <w:t>(1)</w:t>
            </w:r>
          </w:p>
        </w:tc>
        <w:tc>
          <w:tcPr>
            <w:tcW w:w="246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firstLine="144"/>
              <w:jc w:val="center"/>
              <w:rPr/>
            </w:pPr>
            <w:r>
              <w:rPr>
                <w:rFonts w:ascii="Times New Roman;serif" w:hAnsi="Times New Roman;serif"/>
                <w:b w:val="false"/>
                <w:color w:val="000000"/>
                <w:sz w:val="20"/>
              </w:rPr>
              <w:t>$3.50</w:t>
            </w:r>
            <w:r>
              <w:rPr>
                <w:rFonts w:ascii="Times New Roman;serif" w:hAnsi="Times New Roman;serif"/>
                <w:b w:val="false"/>
                <w:color w:val="000000"/>
                <w:sz w:val="13"/>
              </w:rPr>
              <w:t>(2)</w:t>
            </w:r>
          </w:p>
        </w:tc>
        <w:tc>
          <w:tcPr>
            <w:tcW w:w="343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2,005,612</w:t>
            </w:r>
          </w:p>
        </w:tc>
      </w:tr>
      <w:tr>
        <w:trPr/>
        <w:tc>
          <w:tcPr>
            <w:tcW w:w="2103"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2022 Employee Stock Purchase Plan</w:t>
            </w:r>
          </w:p>
        </w:tc>
        <w:tc>
          <w:tcPr>
            <w:tcW w:w="2207"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246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343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1,819,346</w:t>
            </w:r>
          </w:p>
        </w:tc>
      </w:tr>
      <w:tr>
        <w:trPr/>
        <w:tc>
          <w:tcPr>
            <w:tcW w:w="2103"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2022 Earn Out Plan</w:t>
            </w:r>
          </w:p>
        </w:tc>
        <w:tc>
          <w:tcPr>
            <w:tcW w:w="220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246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343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20,856</w:t>
            </w:r>
          </w:p>
        </w:tc>
      </w:tr>
      <w:tr>
        <w:trPr/>
        <w:tc>
          <w:tcPr>
            <w:tcW w:w="2103"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0"/>
              <w:ind w:left="0" w:right="0" w:firstLine="180"/>
              <w:jc w:val="left"/>
              <w:rPr/>
            </w:pPr>
            <w:r>
              <w:rPr>
                <w:rFonts w:ascii="Times New Roman;serif" w:hAnsi="Times New Roman;serif"/>
                <w:b/>
                <w:color w:val="000000"/>
                <w:sz w:val="20"/>
              </w:rPr>
              <w:t>Equity Compensation Plans Not Approved by Stockholders</w:t>
            </w:r>
            <w:r>
              <w:rPr>
                <w:rFonts w:ascii="Times New Roman;serif" w:hAnsi="Times New Roman;serif"/>
                <w:b/>
                <w:color w:val="000000"/>
                <w:sz w:val="13"/>
              </w:rPr>
              <w:t>(3)</w:t>
            </w:r>
          </w:p>
        </w:tc>
        <w:tc>
          <w:tcPr>
            <w:tcW w:w="2207"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465"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43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03"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07"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color w:val="000000"/>
                <w:sz w:val="20"/>
              </w:rPr>
            </w:pPr>
            <w:r>
              <w:rPr>
                <w:rFonts w:ascii="Times New Roman;serif" w:hAnsi="Times New Roman;serif"/>
                <w:b/>
                <w:color w:val="000000"/>
                <w:sz w:val="20"/>
              </w:rPr>
              <w:t>34,534,945</w:t>
            </w:r>
          </w:p>
        </w:tc>
        <w:tc>
          <w:tcPr>
            <w:tcW w:w="2465"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color w:val="000000"/>
                <w:sz w:val="20"/>
              </w:rPr>
            </w:pPr>
            <w:r>
              <w:rPr>
                <w:rFonts w:ascii="Times New Roman;serif" w:hAnsi="Times New Roman;serif"/>
                <w:b/>
                <w:color w:val="000000"/>
                <w:sz w:val="20"/>
              </w:rPr>
              <w:t>$3.50</w:t>
            </w:r>
          </w:p>
        </w:tc>
        <w:tc>
          <w:tcPr>
            <w:tcW w:w="3430"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3,845,814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6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 xml:space="preserve">Represents shares subject to outstanding awards granted, of which (i) 9,956,479 shares of Class A common stock are subject to outstanding RSUs and PSUs and (ii) 24,578,466 shares of Class A common stock are subject to outstanding stock options. </w:t>
      </w:r>
    </w:p>
    <w:p>
      <w:pPr>
        <w:pStyle w:val="TextBody"/>
        <w:bidi w:val="0"/>
        <w:spacing w:lineRule="auto" w:line="268"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The weighted-average exercise price is calculated based solely on the exercise prices of the outstanding stock options and does not reflect the shares that will be issued upon the vesting of outstanding awards of restricted shares or RSUs and PSUs, which have no exercise price.</w:t>
      </w:r>
    </w:p>
    <w:p>
      <w:pPr>
        <w:pStyle w:val="TextBody"/>
        <w:bidi w:val="0"/>
        <w:spacing w:lineRule="auto" w:line="268" w:before="0" w:after="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16"/>
        </w:rPr>
        <w:t xml:space="preserve">As of December 31, 2025, there were no equity compensation plans not approved by security holders under which equity securities of the Company were authorized for issuance.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Board of Directors recommends that you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0"/>
        </w:rPr>
        <w:t>the approval of the First Amendment to the Getty Images Holdings, Inc. 2022 Equity Incentive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PROPOSAL NO. 5 APPROVAL OF FIRST AMENDMENT TO THE GETTY IMAGES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2022 EMPLOYEE STOCK PURCHASE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asking our stockholders to approve the First Amendment (the “</w:t>
      </w:r>
      <w:r>
        <w:rPr>
          <w:rFonts w:ascii="Times New Roman;serif" w:hAnsi="Times New Roman;serif"/>
          <w:b w:val="false"/>
          <w:color w:val="000000"/>
          <w:sz w:val="20"/>
          <w:u w:val="single"/>
        </w:rPr>
        <w:t>ESPP Amendment</w:t>
      </w:r>
      <w:r>
        <w:rPr>
          <w:color w:val="000000"/>
        </w:rPr>
        <w:t>”</w:t>
      </w:r>
      <w:r>
        <w:rPr>
          <w:rFonts w:ascii="Times New Roman;serif" w:hAnsi="Times New Roman;serif"/>
          <w:b w:val="false"/>
          <w:color w:val="000000"/>
          <w:sz w:val="20"/>
        </w:rPr>
        <w:t>) to the Getty Images Holdings, Inc. 2022 Employee Stock Purchase Plan (the “</w:t>
      </w:r>
      <w:r>
        <w:rPr>
          <w:rFonts w:ascii="Times New Roman;serif" w:hAnsi="Times New Roman;serif"/>
          <w:b w:val="false"/>
          <w:color w:val="000000"/>
          <w:sz w:val="20"/>
          <w:u w:val="single"/>
        </w:rPr>
        <w:t>2022 ESPP</w:t>
      </w:r>
      <w:r>
        <w:rPr>
          <w:color w:val="000000"/>
        </w:rPr>
        <w:t>”</w:t>
      </w:r>
      <w:r>
        <w:rPr>
          <w:rFonts w:ascii="Times New Roman;serif" w:hAnsi="Times New Roman;serif"/>
          <w:b w:val="false"/>
          <w:color w:val="000000"/>
          <w:sz w:val="20"/>
        </w:rPr>
        <w:t>). The ESPP Amendment was adopted by the Board of Directors on August 12, 2026, subject to approval by our stockholders at the Annual Meeting. The ESPP Amendment is intended to increase the number of shares of our Class A common stock reserved and available for future issuance under the 2022 ESPP by 4,210,185 shares of Class A common stock. If the ESPP Amendment is approved, the total number of shares reserved and available for future issuance under the 2022 ESPP (including the shares added by the ESPP Amendment) will be 4,873,446 shares of Class A common stock. The ESPP Amendment will become effective as of the date of the Annual Meeting if approved by our stockholders and will not become effective if such approval is not received. The ESPP Amendment does not change any material provision of the 2022 ESPP other than to increase the number of shares of Class A common stock reserved and available for future issuance under the 2022 ESPP. Based solely on the closing price of a share of Class A common stock reported on NYSE on August 17, 2026, which was approximately $0.28, the maximum aggregate market value of the 4,873,446 shares of Class A common stock that could potentially be issued under the 2022 ESPP, as amended by the ESPP Amendment, is approximately $1,364,565. The numbers set forth in this proposal are on a pre-Reverse Stock Split basis.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also approved, the number of shares reserved and available for future issuance under the 2022 ESPP (as increased by the ESPP Amendment) will be equitably adjusted. For purposes of illustration, if the Reverse Stock Split is effected at a ratio of 1-for-5 or 1-for-20, the number of shares reserved and available for future issuance under the 2022 ESPP (as increased by the ESPP Amendment) after the Reverse Stock Split would be approximately 974,689 shares and 243,672 shares,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Rationale for the Adoption of the ESPP Amendment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We believe that the adoption of the ESPP Amendment will benefit us by continuing to provide eligible service providers with an opportunity to acquire shares of Class A common stock, which gives such service providers a stake in our growth, and will enable us to attract, retain and motivate valued service providers. We expect the additional number of shares of Class A common stock under the ESPP Amendment to provide us with enough shares under the 2022 ESPP for at least the next two years, assuming participation in the 2022 ESPP is consistent with historical levels. We cannot predict the future level of 2022 ESPP participation, the future price of our shares of Class A common stock or future hiring activity with any degree of certainty at this time, and the share reserve under the 2022 ESPP could last for a shorter or longer period than we have anticipated. If the ESPP Amendment is not approved, we may not have enough shares of Class A common stock to fulfill outstanding purchase rights under the current offering period under the 2022 ESPP.</w:t>
      </w:r>
      <w:r>
        <w:rPr>
          <w:color w:val="000000"/>
        </w:rPr>
        <w:t xml:space="preserve"> </w:t>
      </w:r>
      <w:r>
        <w:rPr>
          <w:rFonts w:ascii="Times New Roman;serif" w:hAnsi="Times New Roman;serif"/>
          <w:b w:val="false"/>
          <w:color w:val="000000"/>
          <w:sz w:val="20"/>
        </w:rPr>
        <w:t>If we determine that the number of available shares of Class A common stock is insufficient to fulfill all outstanding purchase rights for the current offering period, we expect to implement a pro-rata reduction of those outstanding purchase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2023 – 2025 Burn Rate and Outstanding Purchased Shares Overhang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Eligible participants purchased an aggregate of 1,656,315 shares of Class A common stock for $2,339,416 in 2025 under the 2022 ESPP, compared to purchases of 1,071,206 shares of Class A common stock for $2,957,964 in 2024 and 413,333 shares of Class A common stock for $1,627,744 in 2023. Annual dilution attributable to shares of Class A common stock purchased under the 2022 ESPP was approximately 0.4% in 2025, 0.3% in 2024 and 0.1% in 2023. Annual dilution is calculated as shares of Class A common stock purchased divided by shares outstanding at year-end.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 pool under the 2022 ESPP, as amended by the ESPP Amendment, represents approximately 1.2% of the 421,018,476 shares of Class A common stock outstanding as of August 17,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of the Material Terms of the 2022 ESPP and the ESPP Amendment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The purpose of the 2022 ESPP is to provide eligible service providers of the Company or its affiliates with an opportunity to purchase shares of the Class A common stock. The 2022 ESPP includes two components: a Code Section 423 Component (the “</w:t>
      </w:r>
      <w:r>
        <w:rPr>
          <w:rFonts w:ascii="Times New Roman;serif" w:hAnsi="Times New Roman;serif"/>
          <w:b w:val="false"/>
          <w:color w:val="000000"/>
          <w:sz w:val="20"/>
          <w:u w:val="single"/>
        </w:rPr>
        <w:t>423 Component</w:t>
      </w:r>
      <w:r>
        <w:rPr>
          <w:color w:val="000000"/>
        </w:rPr>
        <w:t>”</w:t>
      </w:r>
      <w:r>
        <w:rPr>
          <w:rFonts w:ascii="Times New Roman;serif" w:hAnsi="Times New Roman;serif"/>
          <w:b w:val="false"/>
          <w:color w:val="000000"/>
          <w:sz w:val="20"/>
        </w:rPr>
        <w:t>) and a non-Code Section 423 Component (the “</w:t>
      </w:r>
      <w:r>
        <w:rPr>
          <w:rFonts w:ascii="Times New Roman;serif" w:hAnsi="Times New Roman;serif"/>
          <w:b w:val="false"/>
          <w:color w:val="000000"/>
          <w:sz w:val="20"/>
          <w:u w:val="single"/>
        </w:rPr>
        <w:t>Non-423 Component</w:t>
      </w:r>
      <w:r>
        <w:rPr>
          <w:color w:val="000000"/>
        </w:rPr>
        <w:t>”</w:t>
      </w:r>
      <w:r>
        <w:rPr>
          <w:rFonts w:ascii="Times New Roman;serif" w:hAnsi="Times New Roman;serif"/>
          <w:b w:val="false"/>
          <w:color w:val="000000"/>
          <w:sz w:val="20"/>
        </w:rPr>
        <w:t xml:space="preserve">). The Company intends for the 423 Component to qualify as an “employee stock purchase plan” under Section 423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pPr>
      <w:r>
        <w:rPr>
          <w:rFonts w:ascii="Times New Roman;serif" w:hAnsi="Times New Roman;serif"/>
          <w:b w:val="false"/>
          <w:color w:val="000000"/>
          <w:sz w:val="20"/>
        </w:rPr>
        <w:t>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The provisions of the 423 Component, accordingly, will be construed so as to extend and limit participation in a uniform and nondiscriminatory basis consistent with the requirements of Section 423 of the Code. In addition, the 2022 ESPP authorizes the grant of purchase rights under the Non-423 Component that does not qualify as an “employee stock purchase plan” under Section 423 of the Code. Eligible employees will be able to participate in the 423 Component or Non-423 Component of the 2022 ESPP. Eligible service providers (who may or may not be eligible employees) will be able to participate only in the Non-423 Component of the 2022 ESPP.</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Shares Subject to the Plan.</w:t>
      </w:r>
      <w:r>
        <w:rPr>
          <w:color w:val="000000"/>
        </w:rPr>
        <w:t xml:space="preserve"> </w:t>
      </w:r>
      <w:r>
        <w:rPr>
          <w:rFonts w:ascii="Times New Roman;serif" w:hAnsi="Times New Roman;serif"/>
          <w:b w:val="false"/>
          <w:color w:val="000000"/>
          <w:sz w:val="20"/>
        </w:rPr>
        <w:t>Subject to adjustments as provided in the 2022 ESPP, an aggregate of 4,873,446 shares of Class A common stock</w:t>
      </w:r>
      <w:r>
        <w:rPr>
          <w:color w:val="000000"/>
        </w:rPr>
        <w:t xml:space="preserve"> </w:t>
      </w:r>
      <w:r>
        <w:rPr>
          <w:rFonts w:ascii="Times New Roman;serif" w:hAnsi="Times New Roman;serif"/>
          <w:b w:val="false"/>
          <w:color w:val="000000"/>
          <w:sz w:val="20"/>
        </w:rPr>
        <w:t>(as increased by the ESPP Amendment) will be reserved for issuance under the 2022 ESPP. As of August 17, 2026, 663,261 shares of Class A common stock were available under the 2022 ESPP.</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Plan Administration.</w:t>
      </w:r>
      <w:r>
        <w:rPr>
          <w:color w:val="000000"/>
        </w:rPr>
        <w:t xml:space="preserve"> </w:t>
      </w:r>
      <w:r>
        <w:rPr>
          <w:rFonts w:ascii="Times New Roman;serif" w:hAnsi="Times New Roman;serif"/>
          <w:b w:val="false"/>
          <w:color w:val="000000"/>
          <w:sz w:val="20"/>
        </w:rPr>
        <w:t>The 2022 ESPP</w:t>
      </w:r>
      <w:r>
        <w:rPr>
          <w:color w:val="000000"/>
        </w:rPr>
        <w:t xml:space="preserve"> </w:t>
      </w:r>
      <w:r>
        <w:rPr>
          <w:rFonts w:ascii="Times New Roman;serif" w:hAnsi="Times New Roman;serif"/>
          <w:b w:val="false"/>
          <w:color w:val="000000"/>
          <w:sz w:val="20"/>
        </w:rPr>
        <w:t>will be administered by the Board of Directors, unless and until the Board of Directors delegates administration of the 2022 ESPP to the Compensation Committee or any committee of the Board of Directors of no fewer than two members of the Board of Directors who are appointed by the Board of Directors to administer the 2022 ESPP (the Board of Directors or committee referred to above being sometimes referred to as the plan administrator).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Offerings</w:t>
      </w:r>
      <w:r>
        <w:rPr>
          <w:rFonts w:ascii="Times New Roman;serif" w:hAnsi="Times New Roman;serif"/>
          <w:b w:val="false"/>
          <w:color w:val="000000"/>
          <w:sz w:val="20"/>
        </w:rPr>
        <w:t>. The 2022 ESPP is implemented by offerings of rights to all eligible employees and eligible service providers from time to time. Offerings may comprise one or more purchase periods. The maximum length for an offering under the 2022 ESPP is 27 months. The provisions of separate offerings need not be identical. When a participant elects to join an offering, he or she is granted a purchase right to acquire shares of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Class A common stock, subject to certain limitations.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Eligibility</w:t>
      </w:r>
      <w:r>
        <w:rPr>
          <w:rFonts w:ascii="Times New Roman;serif" w:hAnsi="Times New Roman;serif"/>
          <w:b w:val="false"/>
          <w:color w:val="000000"/>
          <w:sz w:val="20"/>
        </w:rPr>
        <w:t>. Purchase rights may be granted only to Company employees, employees of qualifying related corporations or, solely with respect to the Non-423 Component, employees of an affiliate (other than a qualifying related corporation) or eligible service providers. The plan administrator may provide that employees will not be eligible to be granted purchase rights under the 2022 ESPP if, on the offering date, the employee (i) has not completed at least two years of service since the employee’s last hire date (or such lesser period as the plan administrator may determine), (ii) customarily works not more than 20 hours per week (or such lesser period as the plan administrator may determine), (iii) customarily works not more than five months per calendar year (or such lesser period as the plan administrator may determine), (iv) is an officer within the meaning of Section 16 of the Exchange Act, or (v) is a highly compensated employee within the meaning of the Code. Unless otherwise determined by the plan administrator for any offering, an employee will not be eligible to be granted purchase rights unless, on the offering date, the employee customarily works more than 20 hours per week and more than five months per calendar year, and has been employed by the Company or a related corporation or affiliate, as applicable, for at least three continuous months preceding such offering 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the 423 Component, no employee will be eligible for the grant of any purchase rights if, immediately thereafter, such employee owns stock possessing 5% or more of the total combined voting power or value of the Class A common stock or the stock of any related corporation. Moreover, with respect to the 423 Component,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17, 2026, there were approximately 1,515 employees eligible to participate in the 2022 ESPP.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Participation in the ESPP</w:t>
      </w:r>
      <w:r>
        <w:rPr>
          <w:rFonts w:ascii="Times New Roman;serif" w:hAnsi="Times New Roman;serif"/>
          <w:b w:val="false"/>
          <w:color w:val="000000"/>
          <w:sz w:val="20"/>
        </w:rPr>
        <w:t>. On each offering date, each eligible employee or eligible service provider, pursuant to an offering made under the 2022 ESPP, will be granted a purchase right to purchase up to that number of shares of Class A common stock purchasable either with a percentage or with a maximum dollar amount, as designated by the plan administrator. However, with respect to the 423 Component, in the case of eligible employees, such percentage or maximum dollar amount will in either case not exceed 10% of such employee’s earnings during the period that begins on the offering date (or such later date as the plan administrator determines for a particular offering) and ends on the date stated in the offering, which date will be no later than the end of the offering, unless otherwise provided for in an offering.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Purchase Price</w:t>
      </w:r>
      <w:r>
        <w:rPr>
          <w:rFonts w:ascii="Times New Roman;serif" w:hAnsi="Times New Roman;serif"/>
          <w:b w:val="false"/>
          <w:color w:val="000000"/>
          <w:sz w:val="20"/>
        </w:rPr>
        <w:t>. The purchase price of shares of Class A common stock acquired pursuant to purchase rights will be not less than the lesser of (but in no event lower than the par value per share of Class A common stock) an amount equal to (a) 85% of the fair market value of the shares of Class A common stock on the offering date; or (b) 85% of the fair market value of the shares of Class A common stock on the applicable purchase date (i.e., the last day of the applicable purchase period).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Payment of Purchase Price; Payroll Deductions. </w:t>
      </w:r>
      <w:r>
        <w:rPr>
          <w:rFonts w:ascii="Times New Roman;serif" w:hAnsi="Times New Roman;serif"/>
          <w:b w:val="false"/>
          <w:color w:val="000000"/>
          <w:sz w:val="20"/>
        </w:rPr>
        <w:t>The purchase price of the shares of Class A common stock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2022 ESPP and deposited with the Company’s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wire transfer or another approved manner with respect to the Non-423 Component prior to a purchase date, in a manner the Company directs.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Purchase of Stock</w:t>
      </w:r>
      <w:r>
        <w:rPr>
          <w:rFonts w:ascii="Times New Roman;serif" w:hAnsi="Times New Roman;serif"/>
          <w:b w:val="false"/>
          <w:color w:val="000000"/>
          <w:sz w:val="20"/>
        </w:rPr>
        <w:t>. The plan administrator will establish one or more purchase dates during an offering on which purchase rights granted for that offering will be exercised and shares of Class A common stock will be purchased in accordance with such offering. In connection with each offering, the plan administrator may specify a maximum number of shares of Class A common stock that may be purchased by any participant or all participants. If the aggregate purchase of shares of Class A common stock issuable on exercise of purchase rights granted under the offering would exceed any such maximum aggregate number, then, in the absence of any plan administrator action otherwise, a pro rata (based on each participant’s accumulated contributions) allocation of the shares of Class A common stock available will be made in as nearly a uniform manner as will be practicable and equitable.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Withdrawal</w:t>
      </w:r>
      <w:r>
        <w:rPr>
          <w:rFonts w:ascii="Times New Roman;serif" w:hAnsi="Times New Roman;serif"/>
          <w:b w:val="false"/>
          <w:color w:val="000000"/>
          <w:sz w:val="20"/>
        </w:rPr>
        <w:t>. During an offering, a participant may cease making contributions and withdraw from the offering by delivering a withdrawal form. The Company may impose a deadline before a purchase date for withdrawing. On such withdrawal, such participant’s purchase right in that offering will immediately terminate and the Company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2022 ESPP, but such participant will be required to deliver a new enrollment form to participate in subsequent offerings.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Termination of Employment</w:t>
      </w:r>
      <w:r>
        <w:rPr>
          <w:rFonts w:ascii="Times New Roman;serif" w:hAnsi="Times New Roman;serif"/>
          <w:b w:val="false"/>
          <w:color w:val="000000"/>
          <w:sz w:val="20"/>
        </w:rPr>
        <w:t>. Purchase rights granted pursuant to any offering under the 2022 ESPP will terminate immediately if the participant either is no longer an eligible employee or eligible service provider for any reason or for no reason, or is otherwise no longer eligible to participate. The Company shall have the exclusive discretion to determine when a participant is no longer actively providing services and the date of the termination of employment or service for purposes of the 2022 ESPP. As soon as practicable, the Company will distribute to such individual all of his or her accumulated but unused contributions without interest.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Restrictions on Transfer</w:t>
      </w:r>
      <w:r>
        <w:rPr>
          <w:rFonts w:ascii="Times New Roman;serif" w:hAnsi="Times New Roman;serif"/>
          <w:b w:val="false"/>
          <w:color w:val="000000"/>
          <w:sz w:val="20"/>
        </w:rPr>
        <w:t>. During a participant’s lifetime, purchase rights will be exercisable only by such participant. Purchase rights are not transferable by a participant, except by will, by the laws of descent and distribution, or, if the Company so permits, by a beneficiary designation.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Exercise of Purchase Rights</w:t>
      </w:r>
      <w:r>
        <w:rPr>
          <w:rFonts w:ascii="Times New Roman;serif" w:hAnsi="Times New Roman;serif"/>
          <w:b w:val="false"/>
          <w:color w:val="000000"/>
          <w:sz w:val="20"/>
        </w:rPr>
        <w:t>. On each purchase date, each participant’s accumulated contributions will be applied to the purchase of shares of Class A common stock, up to the maximum number of shares of Class A common stock permitted by the 2022 ESPP and the applicable offering, at the purchase price specified in the offering. Unless otherwise specified in the 2022 ESPP, no fractional shares of Class A common stock will be issued and, if any amount of accumulated contributions remains in a participant’s account after the purchase of shares of Class A common stock on the final purchase date in an offering, such remaining amount will roll over to the next offering. No purchase rights may be exercised to any extent unless and until the shares of Class A common stock to be issued on such exercise under the 2022 ESPP are covered by an effective registration statement pursuant to the Securities Act, and the 2022 ESPP is in material compliance with all applicable U.S. federal and state, foreign and other securities, exchange control, and other laws applicable to the 2022 ESPP. If, on the purchase date, as delayed to the maximum extent permissible, the shares of Class A common stock are not registered and the 2022 ESPP is not in compliance with all applicable laws or regulations, no purchase rights will be exercised and all accumulated but unused contributions will be distributed as soon as practicable to the participants without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Capitalization Adjustments</w:t>
      </w:r>
      <w:r>
        <w:rPr>
          <w:rFonts w:ascii="Times New Roman;serif" w:hAnsi="Times New Roman;serif"/>
          <w:b w:val="false"/>
          <w:color w:val="000000"/>
          <w:sz w:val="20"/>
        </w:rPr>
        <w:t>. In the event of a capitalization adjustment (as defined in the 2022 ESPP), the plan administrator will appropriately and proportionately adjust: (i) the classes and maximum number of securities subject to the 2022 ESPP, (ii) the classes and number of securities subject to, and the purchase price applicable to outstanding offerings and purchase rights, and (iii) the classes and number of securities that are the subject of the purchase limits under each ongoing offering.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Dissolution or Liquidation</w:t>
      </w:r>
      <w:r>
        <w:rPr>
          <w:rFonts w:ascii="Times New Roman;serif" w:hAnsi="Times New Roman;serif"/>
          <w:b w:val="false"/>
          <w:color w:val="000000"/>
          <w:sz w:val="20"/>
        </w:rPr>
        <w:t>. In the event of the Company’s dissolution or liquidation, the plan administrator will shorten any offering then in progress by setting a new purchase date prior to the consummation of such proposed dissolution or liquidation. The plan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Effect of a Change in Control</w:t>
      </w:r>
      <w:r>
        <w:rPr>
          <w:rFonts w:ascii="Times New Roman;serif" w:hAnsi="Times New Roman;serif"/>
          <w:b w:val="false"/>
          <w:color w:val="000000"/>
          <w:sz w:val="20"/>
        </w:rPr>
        <w:t>. Upon a change in control (as defined in the 2022 ESPP), 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Class A common stock prior to the change in control under the outstanding purchase rights, and the purchase rights will terminate immediately after such purchase. The plan administrator will notify each participant in writing, at least ten business days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Amendment, Termination or Suspension of the ESPP</w:t>
      </w:r>
      <w:r>
        <w:rPr>
          <w:rFonts w:ascii="Times New Roman;serif" w:hAnsi="Times New Roman;serif"/>
          <w:b w:val="false"/>
          <w:color w:val="000000"/>
          <w:sz w:val="20"/>
        </w:rPr>
        <w:t>. The plan administrator may amend the 2022 ESPP at any time in any respect the plan administrator deems necessary or advisable. However, except with respect to capitalization adjustments described above, stockholder approval will be required for any amendment of the 2022 ESPP for which stockholder approval is required by applicable laws, regulations or listing requirements, including any amendment that either (i) increases the number of shares of Class A common stock available for issuance under the 2022 ESPP, (ii) expands the class of individuals eligible to become participants and receive purchase rights, (iii) materially increases the benefits accruing to participants under the 2022 ESPP or reduces the price at which shares of Class A common stock may be purchased under the 2022 ESPP, (iv) extends the term of the 2022 ESPP, or (v) expands the types of awards available for issuance under the 2022 ESPP, but in each case only to the extent stockholder approval is required by applicable laws, regulations, or listing requirements.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 Registration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file with the SEC a registration statement on Form S-8 covering all of the shares of Class A common stock issuable pursuant to the ESPP Amendment.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of U.S. Federal Income Tax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United States federal income tax consequences of awards granted to individual service providers under the 2022 ESPP. It does not purport to be a complete description of all applicable rules, and those rules (including those summarized here) are subject to change. This summary also assumes that the Section 423 Component complies with Section 423 of the Code and is based on the tax laws in effect as of the date of this proxy statement.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described above, the</w:t>
      </w:r>
      <w:r>
        <w:rPr>
          <w:color w:val="000000"/>
        </w:rPr>
        <w:t xml:space="preserve"> </w:t>
      </w:r>
      <w:r>
        <w:rPr>
          <w:rFonts w:ascii="Times New Roman;serif" w:hAnsi="Times New Roman;serif"/>
          <w:b w:val="false"/>
          <w:color w:val="000000"/>
          <w:sz w:val="20"/>
        </w:rPr>
        <w:t>2022 ESPP has a Section 423 Component and a Non-Section 423 Component. The tax consequences for a U.S. taxpayer will depend on whether he or she participates in the Section 423 Component or the Non-Section 423 Component.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Tax consequences to U.S. participants in the Section 423 Component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 of participants to make purchases under the Section 423 Component are intended to qualify under the provisions of Section 423 of the Code. Under the applicable Code provisions, no income will be taxable to a participant until the sale or other disposition of the shares of Class A common stock purchased under the 2022 ESPP. Upon such sale or disposition, the participant will generally be subject to tax in an amount that depends upon the length of time such shares of Class A common stock are held by the participant prior to disposing of them. If the shares of Class A common stock are sold or disposed of more than two years from the first day of the offering period in which the shares of Class A common stock were purchased and one year from the date of purchase, or if the participant dies while holding the shares of Class A common stock, the participant (or his or her estate) will recognize ordinary income measured as the lesser of the excess of the fair market value of the shares at the time of such sale or disposition over the purchase price and the excess of the fair market value of the shares at the beginning of the offering period over the purchase price. Any additional gain will be treated as long-term capital gain. If the shares of Class A common stock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shares of Class A common stock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by the participant.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entitled to a deduction for amounts taxed as ordinary income or capital gain to a participant except to the extent of ordinary income recognized upon a sale or disposition of shares of Class A common stock prior to the expiration of the holding periods described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Tax consequences to U.S. participants in the Non-Section 423 Component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participant in the Non-Section 423 Component will have compensation income equal to the value of the shares of Class A common stock on the day he or she purchased the Class A common stock less the purchase price. When a participant sells the shares of Class A common stock he or she purchased under the Non-Section 423 Component of the 2022 ESPP, he or she also will have a capital gain or loss equal to the difference between the sales proceeds and the value of the Class A common stock on the day he or she purchased it. This capital gain or loss will be long-term if the participant held the Class A common stock for more than one year and otherwise will be short-term.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compensation income that a participant receives upon the purchase of shares of Class A common stock under the Non-Section 423 Component of the 2022 ESPP is subject to withholding for income, Medicare and social security taxes, as applicable. We are entitled to a deduction for amounts taxed as ordinary income to a participant to the extent of ordinary income recognized upon a purchase made under the Non-Section 423 Component.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Plan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participation in the 2022 ESPP is voluntary, the benefits or amounts that will be received by or allocated to any individual or group of individuals under the 2022 ESPP in the future are not determinable.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Existing Plan Benefits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August 17, 2026, the following number of shares were subject to purchase during the current offering period under the 2022 ESPP ending on November 30, 2026 by the following individuals and groups</w:t>
      </w:r>
      <w:r>
        <w:rPr>
          <w:rFonts w:ascii="Times New Roman;serif" w:hAnsi="Times New Roman;serif"/>
          <w:b w:val="false"/>
          <w:color w:val="000000"/>
          <w:sz w:val="13"/>
        </w:rPr>
        <w:t>(1)</w:t>
      </w:r>
      <w:r>
        <w:rPr>
          <w:rFonts w:ascii="Times New Roman;serif" w:hAnsi="Times New Roman;serif"/>
          <w:b w:val="false"/>
          <w:color w:val="000000"/>
          <w:sz w:val="20"/>
        </w:rPr>
        <w:t>:</w:t>
      </w:r>
      <w:r>
        <w:rPr>
          <w:color w:val="000000"/>
        </w:rPr>
        <w:t xml:space="preserve"> </w:t>
      </w:r>
    </w:p>
    <w:tbl>
      <w:tblPr>
        <w:tblW w:w="7613" w:type="dxa"/>
        <w:jc w:val="left"/>
        <w:tblInd w:w="0" w:type="dxa"/>
        <w:tblLayout w:type="fixed"/>
        <w:tblCellMar>
          <w:top w:w="28" w:type="dxa"/>
          <w:left w:w="28" w:type="dxa"/>
          <w:bottom w:w="28" w:type="dxa"/>
          <w:right w:w="28" w:type="dxa"/>
        </w:tblCellMar>
      </w:tblPr>
      <w:tblGrid>
        <w:gridCol w:w="1221"/>
        <w:gridCol w:w="1072"/>
        <w:gridCol w:w="1076"/>
        <w:gridCol w:w="934"/>
        <w:gridCol w:w="934"/>
        <w:gridCol w:w="2376"/>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33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42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Shares Subject to Purchase under the 2022 ESPP</w:t>
            </w:r>
          </w:p>
        </w:tc>
      </w:tr>
      <w:tr>
        <w:trPr/>
        <w:tc>
          <w:tcPr>
            <w:tcW w:w="33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Craig Peters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1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Mikael Cho</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CEO, Unsplash</w:t>
            </w:r>
          </w:p>
        </w:tc>
        <w:tc>
          <w:tcPr>
            <w:tcW w:w="1868" w:type="dxa"/>
            <w:gridSpan w:val="2"/>
            <w:tcBorders>
              <w:top w:val="single" w:sz="8" w:space="0" w:color="B6B6B6"/>
              <w:bottom w:val="single" w:sz="8" w:space="0" w:color="B6B6B6"/>
            </w:tcBorders>
            <w:shd w:fill="CCEE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2376" w:type="dxa"/>
            <w:tcBorders>
              <w:top w:val="single" w:sz="8" w:space="0" w:color="B6B6B6"/>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color w:val="003366"/>
        </w:rPr>
      </w:pPr>
      <w:r>
        <w:rPr>
          <w:color w:val="003366"/>
        </w:rPr>
        <w:t> </w:t>
      </w:r>
    </w:p>
    <w:tbl>
      <w:tblPr>
        <w:tblW w:w="8354" w:type="dxa"/>
        <w:jc w:val="left"/>
        <w:tblInd w:w="0" w:type="dxa"/>
        <w:tblLayout w:type="fixed"/>
        <w:tblCellMar>
          <w:top w:w="28" w:type="dxa"/>
          <w:left w:w="28" w:type="dxa"/>
          <w:bottom w:w="28" w:type="dxa"/>
          <w:right w:w="28" w:type="dxa"/>
        </w:tblCellMar>
      </w:tblPr>
      <w:tblGrid>
        <w:gridCol w:w="2619"/>
        <w:gridCol w:w="2299"/>
        <w:gridCol w:w="2306"/>
        <w:gridCol w:w="488"/>
        <w:gridCol w:w="488"/>
        <w:gridCol w:w="154"/>
      </w:tblGrid>
      <w:tr>
        <w:trPr/>
        <w:tc>
          <w:tcPr>
            <w:tcW w:w="261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Grant Farhall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Product Officer</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Gene Foca</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Marketing and Revenue Officer</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Nate Gandert</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Technology Officer</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Chris Hoel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Vice President, Chief Accounting Officer</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Jerry Jenkins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Human Resources Officer</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Jennifer Leyden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Ken Mainardis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Editorial</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Peter Orlowsky</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Strategic Development</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Michael Teaster</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of Staff</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Daine Weston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Ecommerce</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directors who are not executive officers as a group</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nominees for election as a director as a group</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associate of any such directors, executive officers or nominees</w:t>
            </w:r>
          </w:p>
        </w:tc>
        <w:tc>
          <w:tcPr>
            <w:tcW w:w="976"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other person who received or is to receive 5% of such options, warrants or rights</w:t>
            </w:r>
          </w:p>
        </w:tc>
        <w:tc>
          <w:tcPr>
            <w:tcW w:w="976"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employees, including all current officers who are not executive officers, as a group</w:t>
            </w:r>
          </w:p>
        </w:tc>
        <w:tc>
          <w:tcPr>
            <w:tcW w:w="976" w:type="dxa"/>
            <w:gridSpan w:val="2"/>
            <w:tcBorders>
              <w:top w:val="single" w:sz="8" w:space="0" w:color="B6B6B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2,251,343 </w:t>
            </w:r>
          </w:p>
        </w:tc>
        <w:tc>
          <w:tcPr>
            <w:tcW w:w="154" w:type="dxa"/>
            <w:tcBorders>
              <w:top w:val="single" w:sz="8" w:space="0" w:color="B6B6B6"/>
              <w:bottom w:val="single" w:sz="8" w:space="0" w:color="A6A6A6"/>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The information in this table assumes a sufficient number of shares of Class A common stock are available to fulfill all outstanding purchase rights for the current offering period under the 2022 ESPP.</w:t>
      </w:r>
      <w:r>
        <w:rPr>
          <w:color w:val="000000"/>
        </w:rPr>
        <w:t xml:space="preserve"> </w:t>
      </w:r>
      <w:r>
        <w:rPr>
          <w:rFonts w:ascii="Times New Roman;serif" w:hAnsi="Times New Roman;serif"/>
          <w:b w:val="false"/>
          <w:color w:val="000000"/>
          <w:sz w:val="16"/>
        </w:rPr>
        <w:t>If we determine that the number of available shares of Class A common stock is insufficient to fulfill all outstanding purchase rights for the current offering period, we expect to implement a pro-rata reduction of those outstanding purchase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information included in our equity compensation plan information table, see page 40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Board of Directors recommends that you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0"/>
        </w:rPr>
        <w:t>the approval of the ESPP Amendment to the Getty Images Holdings, Inc. 2022 Employee Stock Purchase Plan.</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our current executive officers:</w:t>
      </w:r>
    </w:p>
    <w:tbl>
      <w:tblPr>
        <w:tblW w:w="7642" w:type="dxa"/>
        <w:jc w:val="left"/>
        <w:tblInd w:w="0" w:type="dxa"/>
        <w:tblLayout w:type="fixed"/>
        <w:tblCellMar>
          <w:top w:w="28" w:type="dxa"/>
          <w:left w:w="28" w:type="dxa"/>
          <w:bottom w:w="28" w:type="dxa"/>
          <w:right w:w="28" w:type="dxa"/>
        </w:tblCellMar>
      </w:tblPr>
      <w:tblGrid>
        <w:gridCol w:w="531"/>
        <w:gridCol w:w="467"/>
        <w:gridCol w:w="471"/>
        <w:gridCol w:w="109"/>
        <w:gridCol w:w="109"/>
        <w:gridCol w:w="109"/>
        <w:gridCol w:w="144"/>
        <w:gridCol w:w="144"/>
        <w:gridCol w:w="146"/>
        <w:gridCol w:w="109"/>
        <w:gridCol w:w="109"/>
        <w:gridCol w:w="109"/>
        <w:gridCol w:w="1485"/>
        <w:gridCol w:w="1485"/>
        <w:gridCol w:w="211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Position </w:t>
            </w:r>
          </w:p>
        </w:tc>
      </w:tr>
      <w:tr>
        <w:trPr/>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Peters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Mikael Cho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CEO, Unsplash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 Farhall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Product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 Foca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Marketing and Revenue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Nate Gandert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Technology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Chris Hoel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Chief Accounting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Jerry Jenkins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Human Resources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Kjelti Kellough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Jennifer Leyden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Ken Mainardis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Editorial</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Peter Orlowsky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Strategic Development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Teaster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of Staff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Daine Weston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Ecommerce</w:t>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Our Board of Directors chooses executive officers, who then serve at the discretion of our Board of Directors. There is no family relationship between any of the directors or executive officers and any of our other directors or executive officers. The biographical information for our Chief Executive Officer, Craig Peters, is provided above under “</w:t>
      </w:r>
      <w:r>
        <w:rPr>
          <w:rFonts w:ascii="Times New Roman;serif" w:hAnsi="Times New Roman;serif"/>
          <w:b w:val="false"/>
          <w:i/>
          <w:color w:val="000000"/>
          <w:sz w:val="20"/>
        </w:rPr>
        <w:t>Proposal 1: Election of Directors</w:t>
      </w:r>
      <w:r>
        <w:rPr>
          <w:color w:val="000000"/>
        </w:rPr>
        <w:t xml:space="preserve">” </w:t>
      </w:r>
      <w:r>
        <w:rPr>
          <w:rFonts w:ascii="Times New Roman;serif" w:hAnsi="Times New Roman;serif"/>
          <w:b w:val="false"/>
          <w:color w:val="000000"/>
          <w:sz w:val="20"/>
        </w:rPr>
        <w:t>above.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Mikael Cho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Cho has served as Co-Founder and Chief Executive Officer for Unsplash, a subsidiary of the Company, since 2013 and is responsible for leading and operating Unsplash’s overall strategy and vision. In 2013, Mr. Cho founded Unsplash as a blog with ten photos and the mission to make world-class images accessible to enable everyone to create. Prior to founding Unsplash, Mr. Cho held co-founder and leadership roles at companies in the digital and creative sectors, including Crew, a marketplace for creative talent, Uber Foundry, a digital design studio, and WHYNOTBLUE Digital Agency.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Grant Farhall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Farhall has served as our Senior Vice President, Chief Product Officer since 2020, where he is responsible for our overall product strategy and vision. In his role, Mr. Farhall oversees our websites, user experiences, customer research and Generative AI strategy, with the aim of making it easier for our customers to discover, license and share content to connect with their audiences, and drive impact for the business. His career at Getty Images spans more than a decade, including his prior role as Vice President of Ecommerce from 2019 until 2020 and his role as General Manager of iStock from 2017 until 2019. Prior to joining Getty Images, Mr. Farhall worked in broadcast journalism and managed several design and web development agencies.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Gene Foca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Foca has served as our Senior Vice President, Chief Marketing Officer since 2017 and effective May 1, 2023, as Senior Vice President, Chief Marketing and Revenue Officer. As Chief Marketing and Revenue Officer, Mr. Foca is responsible for leading global marketing, sales, ecommerce and communications for Getty Images, overseeing our brand portfolio, strategy and execution for all marketing channels from digital to communications, marketing data science and operations and global sales, including outbound sales, customer success and customer service. He has a wealth of experience across ecommerce, product and digital marketing, bringing over 20 years’ experience as a strategic and data driven leader, launching and growing some of the world’s biggest content and ecommerce businesses. Mr. Foca joined Getty Images after nearly five years at Amazon in Seattle and New York from 2012 through 2016, working with Kindle and retail ecommerce, as well as a brief stint at Fresh Direct overseeing customer marketing. Prior to that, he served as SVP of Marketing for News Digital/News Corporation, where he focused on content app launches and subscription marketing from 2010 until 2011. He previously spent nearly 19 years at Time Warner in senior ecommerce and consumer marketing leadership roles, primarily with the Time Incorporated division from 1991 until 2010.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Nate Gandert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Gandert has served as our Senior Vice President, Chief Technology Officer since 2016. In his role as Chief Technology Officer, Mr. Gandert is responsible for leading our overall technology strategy and vision, as well as our data and insights capabilities. Mr. Gandert oversees all advancements, innovations and operations delivered by the technology and product functions, including our search architecture, application and software development, ecommerce platform and websites with the aim of enriching our product offering to better serve customers worldwide. His remit also includes the development of internal and customer value using data, AI and machine learning.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Gandert’s career at Getty Images spans over 14 years during which time he has served in various vice president, senior director, director and professional level roles. Prior to joining Getty Images, Mr. Gandert held vice president and leadership roles at other companies in the ecommerce and media sectors, holding more than 25 years of industry experience overall.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Chris Hoel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Hoel has served as Vice President, Finance and Chief Accounting Officer of Getty Images since April 2014. Mr. Hoel is responsible for Getty Images’ Accounting, External Financial Reporting, and Finance Operations functions, and has 30 years of accounting and finance experience. He joined Getty Images in 2009 as the Director, Finance, before being promoted to Senior. Director, Finance in 2011, and then Vice President, Finance in 2013 and to Vice President, Chief Accounting Officer in 2014. Mr. Hoel previously held the role of Corporate Controller for Fisher Communications, Inc. from July 2005 to March 2009, and Controller/Associate Director of SEC Reporting for Xcyte Therapies from February 2001 to July 2005. Prior to his career with Xcyte Therapies, Mr. Hoel held progressively more responsible financial/accounting positions in both public accounting and private industry.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Hoel earned his bachelor’s degree in Accounting from Central Washington University and has been a Certified Public Accountant since 1995.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Jerry Jenkins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Jenkins joined Getty Images in May 2025 as Senior Vice President, Chief Human Resources Officer overseeing all aspects of the company’s global workforce. Mr. Jenkins has an extensive background leading people operations and global talent acquisition in dynamic organizations. Prior to joining Getty Images, Mr. Jenkins served as both Chief People Officer and Chief Administrative Officer for Doma Technology LLC, building the HR functions and teams from the ground up, designing a comprehensive human capital strategy and implementing an efficient and scalable infrastructure.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Jenkins has served on the board of INROADS, Inc. as Vice-Chair for the Rocky Mountain Region and participated in the Drury University Mentoring Network, helping students gain industry-relevant skills and knowledge prior to entering the workforce. Mr. Jenkins earned his B.S. Degree from Drury University and his M.B.A. in Human Resources Management from Baker College - Center for Graduate Studies and has also been certified as a Global Professional in Human Resources by the Human Resources Certification Institute.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Kjelti Kellough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Ms. Kellough has served as our Senior Vice President, General Counsel since 2019. In her role as Senior Vice President, General Counsel, Ms. Kellough leads our global Legal and Facilities functions and is responsible for overseeing its worldwide legal affairs, including corporate governance, compliance, governmental relations, litigation, intellectual property and corporate matters, and real estate and facilities matters. Prior to her current role as our Senior Vice President, General Counsel, Ms. Kellough served as Vice President, Corporate Counsel from 2012 until 2019, overseeing corporate commercial legal matters for the Americas, as well as global legal support for our product and marketing functions. Ms. Kellough also held various Senior Director and Director roles with Getty Images. Ms. Kellough has more than 25 years of legal experience and prior to joining Getty Images in 2009, Ms. Kellough was a corporate finance partner at TingleMerrett LLP and an intellectual property and corporate associate at Blake, Cassels &amp; Graydon LLP.</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Jennifer Leyden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Ms. Leyden has served as our Senior Vice President, Chief Financial Officer since January 2022. As Chief Financial Officer, Ms. Leyden is responsible for our Global Finance and Accounting, Financial Reporting and Analysis, Business Intelligence, Tax, Treasury, and Investor Relations functions. Ms. Leyden has more than 25 years of financial, accounting and leadership experience. She joined Getty Images in 2016 as the Senior Director, Enterprise Reporting and Analysis, before being promoted to Vice President, Financial Planning and Analysis in February 2019, Senior Vice President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Investor Relations and Finance in 2021 and to CFO in 2022. Before joining Getty Images, Ms. Leyden held the role of CFO for six years at Physique 57, a global fitness brand. In this role, she led Physique 57 through a period of rapid expansion and topline growth, driving scalable cost base efficiencies while navigating the business through a period of dynamic and explosive growth in the broader health and wellness industry. Ms. Leyden also spent 10 years at Sony Music Entertainment in several progressively impactful financial roles, ending her tenure there as the Senior Director of Finance for Columbia Records, one of the largest and most iconic record labels in the world. She launched her career by becoming licensed as a Certified Public Accountant and spent four years in public accounting.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Ken Mainardis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Mainardis was appointed as our Senior Vice President, Editorial in October 2023, and he previously served as our Senior Vice President, Global Content. He oversees all of our content divisions across its editorial spectrum. From sport, entertainment, news, to archival product lines, Mr. Mainardis has responsibility for overseeing the production and licensing of photography, video, paid assignment solutions and associated services. Mr. Mainardis joined Getty Images in 2004 as Managing Editor, EMEA and a year later became Director of Editorial Photography with a focus on major editorial events. In April 2010, Mr. Mainardis took on the new role of Senior Director, Editorial Services and Events with a global brief responsible for editorial event operations and services. In February 2013, he was appointed Vice President, Sports Imagery and Operations, before being promoted to Senior Vice President of Editorial in 2017. Mr. Mainardis began his career in 1995 as an assignments editor for the Reuters News Agency in their London bureau, before taking on the role of Global Sports Editor for Reuters Pictures in 2000. Mr. Mainardis is also a board member of the News Media Coalition, a not-for-profit trade organization protecting the news media’s access to events of public interest.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Peter Orlowsky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Orlowsky has served as our Senior Vice President, Strategic Development since 2017. Mr. Orlowsky is responsible for evaluating and building key business strategies and partnerships, as well as for identifying and developing new business opportunities for Getty Images. In this role, Mr. Orlowsky drives global content licensing and distribution deals with leading technology, multimedia and service providers worldwide, as well as oversees our relationships with global partners. Mr. Orlowsky has been with Getty Images for over 20 years, serving several roles at various levels including Vice President and Senior Director, across Getty Images in business development and sales.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Michael Teaster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our Senior Vice President, Chief of Staff, since September 2022, Mr. Teaster supports our Global Leadership Team and our Board of Directors with company planning, priority management, and delivery. Mr. Teaster has 30 years of industry-related experience and has served in several executive roles for Getty Images. Prior to his current role, Mr. Teaster served as Senior Vice President of Business Operations from 2017 to 2019, before which he also served as Senior Vice President of Global Sales from 2008 to 2017, among other executive roles. Previously, Mr. Teaster served as Vice President of Licensee Relations for The Image Bank, a company that was later acquired by Getty Images in 1999.</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Daine Weston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Weston was appointed Senior Vice President, Ecommerce, in May 2023. As the Senior Vice President of Ecommerce, Mr. Weston leads Getty Images’ efforts to enhance its online business by delivering exceptional customer experience across its ecommerce platform and websites, digital marketing initiatives, SEO strategy, and ecommerce operations. Based in New York, Mr. Weston sits on the company’s executive team, providing valuable insights and strategic direction to support the company’s growth. With over 15 years of experience in digital marketing, he has made significant contributions to Getty Images’ success. He was instrumental in developing a scalable global model for display and remarketing efforts across multiple brands and countries during his time in Calgary. As the head of Getty Images EMEA Digital Marketing team in London, Mr. Weston successfully drove growth in customer acquisition across all paid marketing channels. As Vice President of Digital Marketing &amp; Demand Generation at Getty Images, he oversaw customer acquisition, paid marketing investments, and demand generation efforts globally. Prior to joining Getty Images in 2015, Mr. Weston was a key player at OMD Digital and OMD International, where he led efforts for major clients such as Vodafone, Sky Television, McDonald’s, Johnson &amp; Johnson, Air New Zealand and Sony. Mr. Weston received a double major in advertising and marketing from AUT University in Auckland,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AND DIRECTOR COMPENSATION</w:t>
      </w:r>
    </w:p>
    <w:p>
      <w:pPr>
        <w:pStyle w:val="TextBody"/>
        <w:bidi w:val="0"/>
        <w:spacing w:lineRule="auto" w:line="280" w:before="240" w:after="283"/>
        <w:ind w:left="0" w:right="0" w:firstLine="450"/>
        <w:jc w:val="both"/>
        <w:rPr/>
      </w:pPr>
      <w:r>
        <w:rPr>
          <w:rFonts w:ascii="Times New Roman;serif" w:hAnsi="Times New Roman;serif"/>
          <w:b w:val="false"/>
          <w:color w:val="000000"/>
          <w:sz w:val="20"/>
        </w:rPr>
        <w:t>We are an “emerging growth company,” as defined under the Jumpstart Our Business Startups Act, and a “smaller reporting company,” as defined under the Securities Act. As an emerging growth company and smaller reporting company, we have opted to comply with the executive compensation rules applicable to smaller reporting companies, which require compensation disclosure for our principal executive officer and our next two most highly compensated executive officers (other than our principal executive officer) as of the end of the last completed fiscal year (collectively, the “</w:t>
      </w:r>
      <w:r>
        <w:rPr>
          <w:rFonts w:ascii="Times New Roman;serif" w:hAnsi="Times New Roman;serif"/>
          <w:b w:val="false"/>
          <w:color w:val="000000"/>
          <w:sz w:val="20"/>
          <w:u w:val="single"/>
        </w:rPr>
        <w:t>Named Executive Officers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NEOs</w:t>
      </w:r>
      <w:r>
        <w:rPr>
          <w:color w:val="000000"/>
        </w:rPr>
        <w:t>”</w:t>
      </w:r>
      <w:r>
        <w:rPr>
          <w:rFonts w:ascii="Times New Roman;serif" w:hAnsi="Times New Roman;serif"/>
          <w:b w:val="false"/>
          <w:color w:val="000000"/>
          <w:sz w:val="20"/>
        </w:rPr>
        <w:t>). Also, as an emerging growth company, and smaller reporting company, we are not required to include, and have not included, a Compensation Discussion and Analysis and certain of the other compensation tables required by Item 402 of Regulation S-K. Further, as an emerging growth company, and smaller reporting company, we are exempt from certain other requirements related to executive compensation, including the requirement to hold advisory votes on the compensation of our Named Executive Officers, the requirement to disclose a CEO pay ratio and the requirement to disclose “pay versus performance” information, as applicable.</w:t>
      </w:r>
    </w:p>
    <w:p>
      <w:pPr>
        <w:pStyle w:val="TextBody"/>
        <w:bidi w:val="0"/>
        <w:spacing w:before="0" w:after="0"/>
        <w:ind w:left="0" w:right="0" w:firstLine="450"/>
        <w:jc w:val="both"/>
        <w:rPr/>
      </w:pPr>
      <w:r>
        <w:rPr/>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executives were our Named Executive Officers as of December 31, 2025:</w:t>
      </w:r>
    </w:p>
    <w:p>
      <w:pPr>
        <w:pStyle w:val="TextBody"/>
        <w:bidi w:val="0"/>
        <w:spacing w:lineRule="auto" w:line="288" w:before="60" w:after="283"/>
        <w:ind w:left="0" w:right="0" w:firstLine="450"/>
        <w:jc w:val="both"/>
        <w:rPr/>
      </w:pPr>
      <w:r>
        <w:rPr>
          <w:color w:val="000000"/>
        </w:rPr>
        <w:t>•</w:t>
      </w:r>
      <w:r>
        <w:rPr>
          <w:rFonts w:ascii="Times New Roman;serif" w:hAnsi="Times New Roman;serif"/>
          <w:b w:val="false"/>
          <w:color w:val="000000"/>
          <w:sz w:val="20"/>
        </w:rPr>
        <w:t>Craig Peters, our Chief Executive Officer (“</w:t>
      </w:r>
      <w:r>
        <w:rPr>
          <w:rFonts w:ascii="Times New Roman;serif" w:hAnsi="Times New Roman;serif"/>
          <w:b w:val="false"/>
          <w:color w:val="000000"/>
          <w:sz w:val="20"/>
          <w:u w:val="single"/>
        </w:rPr>
        <w:t>CEO</w:t>
      </w:r>
      <w:r>
        <w:rPr>
          <w:color w:val="000000"/>
        </w:rPr>
        <w:t>”</w:t>
      </w:r>
      <w:r>
        <w:rPr>
          <w:rFonts w:ascii="Times New Roman;serif" w:hAnsi="Times New Roman;serif"/>
          <w:b w:val="false"/>
          <w:color w:val="000000"/>
          <w:sz w:val="20"/>
        </w:rPr>
        <w:t>);</w:t>
      </w:r>
    </w:p>
    <w:p>
      <w:pPr>
        <w:pStyle w:val="TextBody"/>
        <w:bidi w:val="0"/>
        <w:spacing w:lineRule="auto" w:line="288" w:before="60" w:after="283"/>
        <w:ind w:left="0" w:right="0" w:firstLine="450"/>
        <w:jc w:val="both"/>
        <w:rPr/>
      </w:pPr>
      <w:r>
        <w:rPr>
          <w:color w:val="000000"/>
        </w:rPr>
        <w:t>•</w:t>
      </w:r>
      <w:r>
        <w:rPr>
          <w:rFonts w:ascii="Times New Roman;serif" w:hAnsi="Times New Roman;serif"/>
          <w:b w:val="false"/>
          <w:color w:val="000000"/>
          <w:sz w:val="20"/>
        </w:rPr>
        <w:t>Nathaniel Gandert, our Senior Vice President and Chief Technology Officer; and</w:t>
      </w:r>
    </w:p>
    <w:p>
      <w:pPr>
        <w:pStyle w:val="TextBody"/>
        <w:bidi w:val="0"/>
        <w:spacing w:lineRule="auto" w:line="288" w:before="60" w:after="283"/>
        <w:ind w:left="0" w:right="0" w:firstLine="450"/>
        <w:jc w:val="both"/>
        <w:rPr/>
      </w:pPr>
      <w:r>
        <w:rPr>
          <w:color w:val="000000"/>
        </w:rPr>
        <w:t>•</w:t>
      </w:r>
      <w:r>
        <w:rPr>
          <w:rFonts w:ascii="Times New Roman;serif" w:hAnsi="Times New Roman;serif"/>
          <w:b w:val="false"/>
          <w:color w:val="000000"/>
          <w:sz w:val="20"/>
        </w:rPr>
        <w:t>Gene Foca, our Senior Vice President and Chief Marketing and Revenue Officer.</w:t>
      </w:r>
    </w:p>
    <w:p>
      <w:pPr>
        <w:pStyle w:val="TextBody"/>
        <w:bidi w:val="0"/>
        <w:spacing w:before="0" w:after="0"/>
        <w:ind w:left="0" w:right="0" w:firstLine="810"/>
        <w:jc w:val="both"/>
        <w:rPr/>
      </w:pPr>
      <w:r>
        <w:rPr/>
      </w:r>
    </w:p>
    <w:p>
      <w:pPr>
        <w:pStyle w:val="TextBody"/>
        <w:bidi w:val="0"/>
        <w:spacing w:lineRule="auto" w:line="28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achieve our compensation objectives, we historically have provided our executives with a compensation package consisting of the following elements:</w:t>
      </w:r>
    </w:p>
    <w:tbl>
      <w:tblPr>
        <w:tblW w:w="10205" w:type="dxa"/>
        <w:jc w:val="left"/>
        <w:tblInd w:w="0" w:type="dxa"/>
        <w:tblLayout w:type="fixed"/>
        <w:tblCellMar>
          <w:top w:w="28" w:type="dxa"/>
          <w:left w:w="28" w:type="dxa"/>
          <w:bottom w:w="28" w:type="dxa"/>
          <w:right w:w="28" w:type="dxa"/>
        </w:tblCellMar>
      </w:tblPr>
      <w:tblGrid>
        <w:gridCol w:w="894"/>
        <w:gridCol w:w="703"/>
        <w:gridCol w:w="705"/>
        <w:gridCol w:w="109"/>
        <w:gridCol w:w="109"/>
        <w:gridCol w:w="109"/>
        <w:gridCol w:w="2299"/>
        <w:gridCol w:w="2184"/>
        <w:gridCol w:w="3093"/>
      </w:tblGrid>
      <w:tr>
        <w:trPr/>
        <w:tc>
          <w:tcPr>
            <w:tcW w:w="89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Compensation Element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Compensation Purpose </w:t>
            </w:r>
          </w:p>
        </w:tc>
      </w:tr>
      <w:tr>
        <w:trPr/>
        <w:tc>
          <w:tcPr>
            <w:tcW w:w="2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Provide a fixed level of cash compensation to attract, retain and reward talented and skilled executives that is competitive for such individuals specific to scope and impact of their job responsibilities and our industry. </w:t>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Annual Cash Bonus (“</w:t>
            </w:r>
            <w:r>
              <w:rPr>
                <w:rFonts w:ascii="Times New Roman;serif" w:hAnsi="Times New Roman;serif"/>
                <w:b w:val="false"/>
                <w:color w:val="000000"/>
                <w:sz w:val="20"/>
                <w:u w:val="single"/>
              </w:rPr>
              <w:t>Non-Sales Bonus Plan</w:t>
            </w:r>
            <w:r>
              <w:rPr>
                <w:color w:val="000000"/>
              </w:rPr>
              <w:t>”</w:t>
            </w: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Incentivize and reward our executives for annual contributions to our performance by tying to both corporate and individual performance metrics. </w:t>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Long-Term Incentive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Promote an ownership culture and the maximization of long-term stockholder value by aligning the interests of our executives and stockholders.</w:t>
            </w:r>
          </w:p>
        </w:tc>
      </w:tr>
    </w:tbl>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composed entirely of independent directors, is responsible for the oversight and administration of our executive compensation program, including evaluating and approving all compensation arrangements for executive officers, determining the structure and levels of compensation, and recommending compensation policies for independent directors. Our CEO plays a collaborative role by providing performance assessments and compensation recommendations for executive officers. No executive officer is present for approvals regarding the setting of his own pay. The Compensation Committee retains the authority to engage external advisors as needed, and maintains flexibility in its approach to ensure responsiveness to evolving business dynamics. This holistic and performance-driven process is designed to attract, retain, and motivate high-caliber executive talent while fostering long-term stockholder value. In 2025, the Compensation Committee engaged Compensia, Inc. as our independent consultant. Compensia, Inc. viewed both executive and director compensation and provided guidance on trends in executive and non-employee director compensation, the composition of our compensation peer group and other matters as directed by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76"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Named Executive Officers for the years ended December 31, 2025 and December 31, 2024.</w:t>
      </w:r>
    </w:p>
    <w:tbl>
      <w:tblPr>
        <w:tblW w:w="10804" w:type="dxa"/>
        <w:jc w:val="left"/>
        <w:tblInd w:w="0" w:type="dxa"/>
        <w:tblLayout w:type="fixed"/>
        <w:tblCellMar>
          <w:top w:w="28" w:type="dxa"/>
          <w:left w:w="28" w:type="dxa"/>
          <w:bottom w:w="28" w:type="dxa"/>
          <w:right w:w="28" w:type="dxa"/>
        </w:tblCellMar>
      </w:tblPr>
      <w:tblGrid>
        <w:gridCol w:w="434"/>
        <w:gridCol w:w="263"/>
        <w:gridCol w:w="264"/>
        <w:gridCol w:w="109"/>
        <w:gridCol w:w="109"/>
        <w:gridCol w:w="109"/>
        <w:gridCol w:w="155"/>
        <w:gridCol w:w="155"/>
        <w:gridCol w:w="156"/>
        <w:gridCol w:w="109"/>
        <w:gridCol w:w="109"/>
        <w:gridCol w:w="109"/>
        <w:gridCol w:w="368"/>
        <w:gridCol w:w="368"/>
        <w:gridCol w:w="196"/>
        <w:gridCol w:w="109"/>
        <w:gridCol w:w="109"/>
        <w:gridCol w:w="109"/>
        <w:gridCol w:w="203"/>
        <w:gridCol w:w="203"/>
        <w:gridCol w:w="181"/>
        <w:gridCol w:w="109"/>
        <w:gridCol w:w="109"/>
        <w:gridCol w:w="109"/>
        <w:gridCol w:w="435"/>
        <w:gridCol w:w="436"/>
        <w:gridCol w:w="221"/>
        <w:gridCol w:w="109"/>
        <w:gridCol w:w="109"/>
        <w:gridCol w:w="109"/>
        <w:gridCol w:w="220"/>
        <w:gridCol w:w="220"/>
        <w:gridCol w:w="221"/>
        <w:gridCol w:w="109"/>
        <w:gridCol w:w="109"/>
        <w:gridCol w:w="109"/>
        <w:gridCol w:w="435"/>
        <w:gridCol w:w="436"/>
        <w:gridCol w:w="381"/>
        <w:gridCol w:w="109"/>
        <w:gridCol w:w="109"/>
        <w:gridCol w:w="109"/>
        <w:gridCol w:w="380"/>
        <w:gridCol w:w="380"/>
        <w:gridCol w:w="381"/>
        <w:gridCol w:w="109"/>
        <w:gridCol w:w="109"/>
        <w:gridCol w:w="109"/>
        <w:gridCol w:w="435"/>
        <w:gridCol w:w="436"/>
        <w:gridCol w:w="225"/>
      </w:tblGrid>
      <w:tr>
        <w:trPr/>
        <w:tc>
          <w:tcPr>
            <w:tcW w:w="4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Bonus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Incentive Plan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Craig Peters,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1,315,500 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1,475,475 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23,037 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3,793,495 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887,817 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2,751,673 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1,159,791 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4,821,656 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Nathaniel Gandert,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567,708 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371,917 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355,522 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16,637 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1,311,514 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and Chief Technology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545,625 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909,516 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1,746,202 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Gene Foca,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535,625 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371,917 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268,151 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18,571 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1,194,264 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and Chief Marketing and Revenue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522,083 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926,485 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18,601 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1,717,169 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1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Reflects base salary actually paid in 2025 and 2024. See </w:t>
      </w:r>
      <w:r>
        <w:rPr>
          <w:color w:val="000000"/>
        </w:rPr>
        <w:t xml:space="preserve">“— </w:t>
      </w:r>
      <w:r>
        <w:rPr>
          <w:rFonts w:ascii="Times New Roman;serif" w:hAnsi="Times New Roman;serif"/>
          <w:b w:val="false"/>
          <w:i/>
          <w:color w:val="000000"/>
          <w:sz w:val="20"/>
        </w:rPr>
        <w:t>Base Salary</w:t>
      </w:r>
      <w:r>
        <w:rPr>
          <w:color w:val="000000"/>
        </w:rPr>
        <w:t xml:space="preserve">” </w:t>
      </w:r>
      <w:r>
        <w:rPr>
          <w:rFonts w:ascii="Times New Roman;serif" w:hAnsi="Times New Roman;serif"/>
          <w:b w:val="false"/>
          <w:color w:val="000000"/>
          <w:sz w:val="20"/>
        </w:rPr>
        <w:t>below for more information.</w:t>
      </w:r>
    </w:p>
    <w:p>
      <w:pPr>
        <w:pStyle w:val="TextBody"/>
        <w:bidi w:val="0"/>
        <w:spacing w:lineRule="auto" w:line="288" w:before="1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Amounts represent the grant date fair value of the stock units granted to our Named Executive Officers, as computed in accordance with FASB ASC Topic 718, excluding estimated forfeitures. See </w:t>
      </w:r>
      <w:r>
        <w:rPr>
          <w:color w:val="000000"/>
        </w:rPr>
        <w:t>“</w:t>
      </w:r>
      <w:r>
        <w:rPr>
          <w:rFonts w:ascii="Times New Roman;serif" w:hAnsi="Times New Roman;serif"/>
          <w:b w:val="false"/>
          <w:i/>
          <w:color w:val="000000"/>
          <w:sz w:val="20"/>
        </w:rPr>
        <w:t>Note 14  —  Equity-Based Compensation”</w:t>
      </w:r>
      <w:r>
        <w:rPr>
          <w:color w:val="000000"/>
        </w:rPr>
        <w:t xml:space="preserve"> </w:t>
      </w:r>
      <w:r>
        <w:rPr>
          <w:rFonts w:ascii="Times New Roman;serif" w:hAnsi="Times New Roman;serif"/>
          <w:b w:val="false"/>
          <w:color w:val="000000"/>
          <w:sz w:val="20"/>
        </w:rPr>
        <w:t>in our consolidated financial statements included in the 2025 Form 10-K for the assumptions used in computing the grant date fair value of such awards. For 2025 and 2024, the amounts reported in the “Stock Awards” column include grant date fair values of the RSUs, and the grant date fair values of the PSUs of $1,225,000, $326,667 and $326,667 granted to Messrs. Peters, Gandert and Foca, respectively. These amounts represent the third and second annual tranches, respectively, equal to one-third of the units subject to an award with a three-year performance period. The performance metrics for each tranche are selected and approved annually. Consequently, in accordance with FASB ASC Topic 718, only the third and second tranches for which the performance metrics were approved for 2025 and 2024, respectively, are considered granted in 2025 and 2024 and reported in the table. The full intended target value of the PSUs is $3,675,000, $980,000 and $980,000 for Messrs. Peters, Gandert and Foca, respectively.</w:t>
      </w:r>
    </w:p>
    <w:p>
      <w:pPr>
        <w:pStyle w:val="TextBody"/>
        <w:bidi w:val="0"/>
        <w:spacing w:lineRule="auto" w:line="288" w:before="1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Amounts represent non-equity incentive plan compensation earned in 2025 and paid in 2026 to each Named Executive Officer pursuant to the Non-Sales Bonus Plan. See </w:t>
      </w:r>
      <w:r>
        <w:rPr>
          <w:color w:val="000000"/>
        </w:rPr>
        <w:t xml:space="preserve">“— </w:t>
      </w:r>
      <w:r>
        <w:rPr>
          <w:rFonts w:ascii="Times New Roman;serif" w:hAnsi="Times New Roman;serif"/>
          <w:b w:val="false"/>
          <w:i/>
          <w:color w:val="000000"/>
          <w:sz w:val="20"/>
        </w:rPr>
        <w:t>Non-Sales Bonus Plan (Annual Cash Bonus Plan)”</w:t>
      </w:r>
      <w:r>
        <w:rPr>
          <w:color w:val="000000"/>
        </w:rPr>
        <w:t xml:space="preserve"> </w:t>
      </w:r>
      <w:r>
        <w:rPr>
          <w:rFonts w:ascii="Times New Roman;serif" w:hAnsi="Times New Roman;serif"/>
          <w:b w:val="false"/>
          <w:color w:val="000000"/>
          <w:sz w:val="20"/>
        </w:rPr>
        <w:t>below for more information</w:t>
      </w:r>
    </w:p>
    <w:p>
      <w:pPr>
        <w:pStyle w:val="TextBody"/>
        <w:bidi w:val="0"/>
        <w:spacing w:lineRule="auto" w:line="288" w:before="1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Amounts for 2025 represent reportable income on our split-benefit life insurance policies ($4,424, $1,790 and $2,923 for Messrs. Peters, Gandert and Foca, respectively) and a tax gross up for such income ($4,613, $577 and $1,648 for Messrs. Peters, Gandert and Foca, respectively), and employer matching contributions under our Section 401(k) profit sharing plan ($14,000 each for Messrs. Peters, Gandert and Foca).</w:t>
      </w:r>
    </w:p>
    <w:p>
      <w:pPr>
        <w:pStyle w:val="TextBody"/>
        <w:bidi w:val="0"/>
        <w:spacing w:lineRule="auto" w:line="288" w:before="1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 xml:space="preserve">Amounts for 2024 represent reportable income on our split-benefit life insurance policies ($4,198, $1,711 and $3,070 for Messrs. Peters, Gandert and Foca, respectively) and a tax gross up for such income ($4,377, $550 and $1,731 for Messrs. Peters, Gandert and Foca, respectively), and employer matching contributions under our Section 401(k) profit sharing plan ($13,800 each for Messrs. Peters, Gandert and Foca).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Narrative Disclosure to 2025 Summary Compensation Table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2025, the compensation program for our Named Executive Officers consisted of base salary, a cash bonus opportunity under our Annual Cash Bonus Plan, and long-term incentive compensation in the form of equity awards. In addition, our Named Executive Officers were covered by Company-sponsored executive life and disability benefits and were eligible to participate in any employee benefit programs generally available to all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 salary is set at a level that reflects the remit, scope, and impact of the role and is commensurate with our Named Executive Officer’s contributions, prior experience, and sustained performance. Initial base salaries are established through arm’s-length negotiation at the time the individual Named Executive Officer is hired, taking into consideration any relevant factors as well as experience and an analysis of competitive market data. Thereafter, our Compensation Committee has generally reviewed, and adjusted as necessary, base salaries for each of our Named Executive Officers, at a minimum annually and whenever there is a change in the scope of the Named Executive Officer’s role. In setting base salary levels for 2025, our Compensation Committee considered a range of factors, including: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individual’s anticipated responsibilities and experience;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collective experience and knowledge in compensating similarly situated individuals at other companies, including those in our selected peer group, informed by the Radford Global Technology and Radford Global Sales compensation surveys;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value of the Named Executive Officer’s existing equity awards.</w:t>
      </w:r>
    </w:p>
    <w:p>
      <w:pPr>
        <w:pStyle w:val="TextBody"/>
        <w:bidi w:val="0"/>
        <w:spacing w:lineRule="auto" w:line="276" w:before="120" w:after="283"/>
        <w:jc w:val="both"/>
        <w:rPr/>
      </w:pPr>
      <w:r>
        <w:rPr>
          <w:rFonts w:ascii="Times New Roman;serif" w:hAnsi="Times New Roman;serif"/>
          <w:b/>
          <w:color w:val="000000"/>
          <w:sz w:val="20"/>
        </w:rPr>
        <w:t>Non-Sales Bonus Plan (“</w:t>
      </w:r>
      <w:r>
        <w:rPr>
          <w:rFonts w:ascii="Times New Roman;serif" w:hAnsi="Times New Roman;serif"/>
          <w:b/>
          <w:color w:val="000000"/>
          <w:sz w:val="20"/>
          <w:u w:val="single"/>
        </w:rPr>
        <w:t>Annual Cash Bonus Plan</w:t>
      </w:r>
      <w:r>
        <w:rPr>
          <w:color w:val="000000"/>
        </w:rPr>
        <w:t>”</w:t>
      </w:r>
      <w:r>
        <w:rPr>
          <w:rFonts w:ascii="Times New Roman;serif" w:hAnsi="Times New Roman;serif"/>
          <w:b/>
          <w:color w:val="000000"/>
          <w:sz w:val="20"/>
        </w:rPr>
        <w: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Annual Cash Bonus Plan for our non-sales employees, including our Named Executive Officers. Like our other non-sales employees, in 2025, our Named Executive Officers received a target bonus opportunity reflected as a percentage of their base salaries, as applicable. Typically, their actual annual cash bonus payment is based on individual performance, provided the Company meets its performance measure target.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2025, the Annual Cash Bonus Plan was approved by our Board of Directors on February 5, 2025. For purposes of the 2025 Annual Cash Bonus Plan, our Board approved revenue and pre-bonus Adjusted EBITDA less Capex as the Company performance measures. For purposes of the Annual Cash Bonus Plan, Adjusted EBITDA less Capex is Net Income less (i) depreciation and amortization, (ii) loss and recovery on litigation, net of recovery, (iii) other operating expenses (net), (iv) interest expense, (v) fair value adjustments, foreign exchange and other non-operating (expense) income (net), (vi) loss on extinguishment of debt, (vii) income tax expense (benefits), (viii) equity-based compensation expense, net of capitalization and (ix) capital expenditures. Further, the CEO evaluated the individual performance of each other Named Executive Officer, taking into consideration such executive’s achievement of the objectives and key performance indicators for his role, an evaluation of his performance as measured against Getty Images’ Leadership Principles, and his contribution to the overall success of Getty Images. In the case of our CEO, his individual performance was evaluated by our Board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evaluated the Company’s performance against the company performance component and each individual NEO’s performance against his or her individual performance component following the end of the year and exercised its discretion to determine the amount to be paid based on the level of achievement of the company performance component and the amount to be paid based on our NEOs’ individual performance and approved the amount of each NEO’s annual bonus as set forth in the “Non-Equity Incentive Plan Compensation” column of the 2025 Summary Compensation Table above. The CEO's amount was also approved by our Board of Directors.</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Long-Term Incentive Compensation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2022, our Board of Directors adopted, and our then stockholder approved, the Getty Images Holdings, Inc. 2022 Equity Incentive Plan (the “</w:t>
      </w:r>
      <w:r>
        <w:rPr>
          <w:rFonts w:ascii="Times New Roman;serif" w:hAnsi="Times New Roman;serif"/>
          <w:b w:val="false"/>
          <w:color w:val="000000"/>
          <w:sz w:val="20"/>
          <w:u w:val="single"/>
        </w:rPr>
        <w:t>2022 Plan</w:t>
      </w:r>
      <w:r>
        <w:rPr>
          <w:color w:val="000000"/>
        </w:rPr>
        <w:t>”</w:t>
      </w:r>
      <w:r>
        <w:rPr>
          <w:rFonts w:ascii="Times New Roman;serif" w:hAnsi="Times New Roman;serif"/>
          <w:b w:val="false"/>
          <w:color w:val="000000"/>
          <w:sz w:val="20"/>
        </w:rPr>
        <w:t>), the Getty Images Holdings, Inc. 2022 Earn Out Plan (the “</w:t>
      </w:r>
      <w:r>
        <w:rPr>
          <w:rFonts w:ascii="Times New Roman;serif" w:hAnsi="Times New Roman;serif"/>
          <w:b w:val="false"/>
          <w:color w:val="000000"/>
          <w:sz w:val="20"/>
          <w:u w:val="single"/>
        </w:rPr>
        <w:t>Earn Out Plan</w:t>
      </w:r>
      <w:r>
        <w:rPr>
          <w:color w:val="000000"/>
        </w:rPr>
        <w:t>”</w:t>
      </w:r>
      <w:r>
        <w:rPr>
          <w:rFonts w:ascii="Times New Roman;serif" w:hAnsi="Times New Roman;serif"/>
          <w:b w:val="false"/>
          <w:color w:val="000000"/>
          <w:sz w:val="20"/>
        </w:rPr>
        <w:t>) and the Getty Images Holdings, Inc. 2022 Employee Stock Purchase Plan (the “</w:t>
      </w:r>
      <w:r>
        <w:rPr>
          <w:rFonts w:ascii="Times New Roman;serif" w:hAnsi="Times New Roman;serif"/>
          <w:b w:val="false"/>
          <w:color w:val="000000"/>
          <w:sz w:val="20"/>
          <w:u w:val="single"/>
        </w:rPr>
        <w:t>ESPP</w:t>
      </w:r>
      <w:r>
        <w:rPr>
          <w:color w:val="000000"/>
        </w:rPr>
        <w:t xml:space="preserve">” </w:t>
      </w:r>
      <w:r>
        <w:rPr>
          <w:rFonts w:ascii="Times New Roman;serif" w:hAnsi="Times New Roman;serif"/>
          <w:b w:val="false"/>
          <w:color w:val="000000"/>
          <w:sz w:val="20"/>
        </w:rPr>
        <w:t>and together with the 2022 Plan and the Earnout Plan, the “</w:t>
      </w:r>
      <w:r>
        <w:rPr>
          <w:rFonts w:ascii="Times New Roman;serif" w:hAnsi="Times New Roman;serif"/>
          <w:b w:val="false"/>
          <w:color w:val="000000"/>
          <w:sz w:val="20"/>
          <w:u w:val="single"/>
        </w:rPr>
        <w:t>Equity Incentive Plans</w:t>
      </w:r>
      <w:r>
        <w:rPr>
          <w:color w:val="000000"/>
        </w:rPr>
        <w:t>”</w:t>
      </w:r>
      <w:r>
        <w:rPr>
          <w:rFonts w:ascii="Times New Roman;serif" w:hAnsi="Times New Roman;serif"/>
          <w:b w:val="false"/>
          <w:color w:val="000000"/>
          <w:sz w:val="20"/>
        </w:rPr>
        <w:t>). The purpose of the Equity Incentive Plans is to align the interests of eligible participants with our stockholders by providing long-term incentive compensation opportunities in the form of time-based equity awards and/or equity awards tied to the Company’s performance based on relevant Company metrics. The intent of the Equity Incentive Plans is to advance the Company’s interests and increase stockholder value by attracting, retaining and motivating key personnel.</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2012 equity incentive plans of our predecessors (the “</w:t>
      </w:r>
      <w:r>
        <w:rPr>
          <w:rFonts w:ascii="Times New Roman;serif" w:hAnsi="Times New Roman;serif"/>
          <w:b w:val="false"/>
          <w:color w:val="000000"/>
          <w:sz w:val="20"/>
          <w:u w:val="single"/>
        </w:rPr>
        <w:t>2012 Equity Plans</w:t>
      </w:r>
      <w:r>
        <w:rPr>
          <w:color w:val="000000"/>
        </w:rPr>
        <w:t>”</w:t>
      </w:r>
      <w:r>
        <w:rPr>
          <w:rFonts w:ascii="Times New Roman;serif" w:hAnsi="Times New Roman;serif"/>
          <w:b w:val="false"/>
          <w:color w:val="000000"/>
          <w:sz w:val="20"/>
        </w:rPr>
        <w:t xml:space="preserve">) were adopted on October 18, 2012, as amended from time to time (including most recently on September 1, 2021). Although the 2012 Equity Plans were terminated in 2022 in connection with the business combination pursuant to which we became a public company, they will continue to govern the terms and conditions of any outstanding awards previously granted thereunder. See </w:t>
      </w:r>
      <w:r>
        <w:rPr>
          <w:color w:val="000000"/>
        </w:rPr>
        <w:t xml:space="preserve">“— </w:t>
      </w:r>
      <w:r>
        <w:rPr>
          <w:rFonts w:ascii="Times New Roman;serif" w:hAnsi="Times New Roman;serif"/>
          <w:b w:val="false"/>
          <w:i/>
          <w:color w:val="000000"/>
          <w:sz w:val="20"/>
        </w:rPr>
        <w:t>Securities Authorized for Issuance Under Equity Compensation Plans”</w:t>
      </w:r>
      <w:r>
        <w:rPr>
          <w:color w:val="000000"/>
        </w:rPr>
        <w:t xml:space="preserve"> </w:t>
      </w:r>
      <w:r>
        <w:rPr>
          <w:rFonts w:ascii="Times New Roman;serif" w:hAnsi="Times New Roman;serif"/>
          <w:b w:val="false"/>
          <w:color w:val="000000"/>
          <w:sz w:val="20"/>
        </w:rPr>
        <w:t>above.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In 2025, our Compensation Committee determined to grant our Named Executive Officers both RSUs and PSUs. Please see the </w:t>
      </w:r>
      <w:r>
        <w:rPr>
          <w:color w:val="000000"/>
        </w:rPr>
        <w:t xml:space="preserve">“— </w:t>
      </w:r>
      <w:r>
        <w:rPr>
          <w:rFonts w:ascii="Times New Roman;serif" w:hAnsi="Times New Roman;serif"/>
          <w:b w:val="false"/>
          <w:i/>
          <w:color w:val="000000"/>
          <w:sz w:val="20"/>
        </w:rPr>
        <w:t>Outstanding Equity Awards at 2025 Fiscal Year-End”</w:t>
      </w:r>
      <w:r>
        <w:rPr>
          <w:color w:val="000000"/>
        </w:rPr>
        <w:t xml:space="preserve"> </w:t>
      </w:r>
      <w:r>
        <w:rPr>
          <w:rFonts w:ascii="Times New Roman;serif" w:hAnsi="Times New Roman;serif"/>
          <w:b w:val="false"/>
          <w:color w:val="000000"/>
          <w:sz w:val="20"/>
        </w:rPr>
        <w:t xml:space="preserve">table and </w:t>
      </w:r>
      <w:r>
        <w:rPr>
          <w:color w:val="000000"/>
        </w:rPr>
        <w:t xml:space="preserve">“— </w:t>
      </w:r>
      <w:r>
        <w:rPr>
          <w:rFonts w:ascii="Times New Roman;serif" w:hAnsi="Times New Roman;serif"/>
          <w:b w:val="false"/>
          <w:i/>
          <w:color w:val="000000"/>
          <w:sz w:val="20"/>
        </w:rPr>
        <w:t xml:space="preserve">Potential Payments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pPr>
      <w:r>
        <w:rPr>
          <w:rFonts w:ascii="Times New Roman;serif" w:hAnsi="Times New Roman;serif"/>
          <w:b w:val="false"/>
          <w:i/>
          <w:color w:val="000000"/>
          <w:sz w:val="20"/>
        </w:rPr>
        <w:t>Termination or Change in Control”</w:t>
      </w:r>
      <w:r>
        <w:rPr>
          <w:color w:val="000000"/>
        </w:rPr>
        <w:t xml:space="preserve"> </w:t>
      </w:r>
      <w:r>
        <w:rPr>
          <w:rFonts w:ascii="Times New Roman;serif" w:hAnsi="Times New Roman;serif"/>
          <w:b w:val="false"/>
          <w:color w:val="000000"/>
          <w:sz w:val="20"/>
        </w:rPr>
        <w:t>below for a description of the vesting, termination of employment and change in control treatment of the awards granted in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Timing of Stock Option and other Equity Award Grants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do not have a formal policy regarding the timing of stock option grants to our NEOs, we do not grant stock options or any other form of equity compensation in anticipation of the release of material, non-public information. Similarly, we do not time the release of material, non-public information based on stock option or other equity award grant dates for the purpose of affecting the value of any NEO award. During our 2025 fiscal year, none of our NEOs were granted any options to purchase shares of our Class A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Section 401(k) Plan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We sponsor a tax-qualified Section 401(k) profit-sharing plan (the “</w:t>
      </w:r>
      <w:r>
        <w:rPr>
          <w:rFonts w:ascii="Times New Roman;serif" w:hAnsi="Times New Roman;serif"/>
          <w:b w:val="false"/>
          <w:color w:val="000000"/>
          <w:sz w:val="20"/>
          <w:u w:val="single"/>
        </w:rPr>
        <w:t>401(k) Plan</w:t>
      </w:r>
      <w:r>
        <w:rPr>
          <w:color w:val="000000"/>
        </w:rPr>
        <w:t>”</w:t>
      </w:r>
      <w:r>
        <w:rPr>
          <w:rFonts w:ascii="Times New Roman;serif" w:hAnsi="Times New Roman;serif"/>
          <w:b w:val="false"/>
          <w:color w:val="000000"/>
          <w:sz w:val="20"/>
        </w:rPr>
        <w:t>) for all U.S. employees, including our Named Executive Officers. Our full-time U.S. employees are eligible to participate in the 401(k) Plan and may contribute up to a specified percentage of their base salary to the 401(k) Plan. We make “safe harbor” matching contributions to the 401(k) Plan on behalf of eligible U.S. employees who are eligible to participate in the 401(k) Plan. We match 4% of a participant’s base salary deferrals. The total matching contribution does not exceed the match allocated based on IRS annual compensation limits.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Pension Benefits and Nonqualified Deferred Compensation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our Named Executive Officers participated in any defined benefit pension plans in 2025.</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our Named Executive Officers participated in any non-qualified deferred compensation plans, supplemental executive retirement plans, or any other unfunded retirement arrangements in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Benefits and Perquisites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health and welfare benefits to our Named Executive Officers on the same basis as provided to all of our employees, including health, dental and vision insurance; life insurance; accidental death and dismemberment insurance; short-term and long-term disability insurance; a health savings account and flexible spending accounts. Additionally, some executives, including our Named Executive Officers, may receive transit subsidies and are eligible for our split-benefit life insurance policies and executive disability insurance.</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more efficient and effective and for recruitment and retention purposes. During 2025, none of our Named Executive Officers received perquisites or other personal benefits that were, in the aggregate, equal to $10,000 or more for any individual.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entered into employment agreements with each of our Named Executive Officers that generally set forth the terms and conditions of their employment, including base salary, target annual cash bonus opportunities, the opportunity to participate in our equity incentive plans and standard employee benefit plan participation. In addition, the Named Executive Officer employment agreements also contain provisions for certain payments and benefits in connection with certain terminations of employment, including a termination of employment in connection with a change in control of Getty Images as described further in </w:t>
      </w:r>
      <w:r>
        <w:rPr>
          <w:color w:val="000000"/>
        </w:rPr>
        <w:t xml:space="preserve">“—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Mr. Peters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amended and restated employment agreement with Mr. Peters as of July 1, 2015, providing that commencing on December 31, 2017, and on each annual anniversary thereafter, the employment term would be automatically extended for an additional one-year term unless we or Mr. Peters provide three months’ notice not to renew the employment agreement term. Subsequently, the employment agreement was amended on January 27, 2017 (to adjust the target annual cash bonus percentage), on November 3, 2017 (to extend its term until December 31, 2020, subject to automatic one-year extensions unless either party provided three months’ notice of non-renewal), and on January 1, 2019 (to elevate Mr. Peters to the position of Chief Executive Officer, adjust his base salary, and to extend its term until December 31, 2021, subject to automatic one-year renewals unless either party provides three months’ notice of non–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renewal). On April 1, 2020, we amended Mr. Peters’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 Effective January 1, 2024, we amended Mr. Peters’ employment agreement to reduce his base salary and make other corresponding adjustments, and, effective January 1, 2025, we amended Mr. Peters’ employment agreement to re-instate his base salary and make other corresponding adjustments. </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Additionally, his employment agreement sets forth his duties as well as his annual base salary (which as of April 1, 2026 is $1,015,000 and subject to annual review by our Board of Directors), a target annual cash bonus award opportunity in an amount equal to a percentage of his annual base salary (currently 75%), the opportunity to participate in our equity incentive plan, and participation in our employee benefit plans on a no less favorable basis as those benefits are generally made available to the other senior executives of Getty Images. The employment agreement also contains certain restrictive covenants involving non-solicitation, non-competition, confidentiality of information, and the treatment and ownership of intellectual property arising during his employment with Getty Images. Further, the employment agreement provides for the rights and responsibilities of the parties in the event of certain terminations of Mr. Peters’ employment, as further described in </w:t>
      </w:r>
      <w:r>
        <w:rPr>
          <w:color w:val="000000"/>
        </w:rPr>
        <w:t xml:space="preserve">“— </w:t>
      </w:r>
      <w:r>
        <w:rPr>
          <w:rFonts w:ascii="Times New Roman;serif" w:hAnsi="Times New Roman;serif"/>
          <w:b w:val="false"/>
          <w:i/>
          <w:color w:val="000000"/>
          <w:sz w:val="20"/>
        </w:rPr>
        <w:t>Potential Payments upon Termination or Change in Control” below.</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Mr. Gandert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employment agreement with Mr. Gandert as of June 1, 2016, providing that commencing on December 31, 2019, and on each annual anniversary thereafter, the employment term would be automatically extended for an additional one-year term unless we or Mr. Gandert provide three months’ notice not to renew the employment agreement term. On April 1, 2020, we amended Mr. Gandert’s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The employment agreement sets forth Mr. Gandert’s position as Chief Technology Officer and duties as well as his annual base salary (which as of April 1, 2026 is $585,000 and subject to annual review by our Compensation Committee and Board of Directors), a target annual cash bonus award opportunity in an amount equal to a percentage of Mr. Gandert’s annual base salary (currently 50%), the opportunity to participate in our equity incentive plans and participation in our employee benefit plans that are no less favorable than those generally made available to other senior executives of Getty Images. The employment agreement also contains certain restrictive covenants involving non-solicitation, non-competition, confidentiality of information, and the treatment and ownership of intellectual property arising during his employment with Getty Images. Further, the employment agreement provides for the rights and responsibilities of the parties in the event of certain terminations of Mr. Gandert’s employment, as further described in </w:t>
      </w:r>
      <w:r>
        <w:rPr>
          <w:color w:val="000000"/>
        </w:rPr>
        <w:t xml:space="preserve">“—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Mr. Foca</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employment agreement with Mr. Foca as of January 3, 2017, providing that commencing on December 31, 2019, and on each annual anniversary thereafter, the employment term would be automatically extended for an additional one-year term unless we or Mr. Foca provide three months’ written notice not to renew the employment agreement term. On April 1, 2020, we amended Mr. Foca’s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 On May 1, 2023, we amended Mr. Foca’s employment agreement to reflect his new title. </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The employment agreement sets forth Mr. Foca’s position as Senior Vice President, Chief Marketing and Revenue Officer and duties as well as his annual base salary (which as of April 1, 2026 is $550,000 and subject to annual review by our Compensation Committee and Board of Directors), a target annual cash bonus award opportunity in an amount equal to a percentage of Mr. Foca’s annual base salary (currently 50%), the opportunity to participate in our equity incentive plans and participation in our employee benefit plans that are no less favorable than those generally made available to other senior executives of Getty Images. The employment agreement also contains certain restrictive covenants involving confidentiality of information, and the treatment and ownership of intellectual property arising during his employment with Getty Images. Further, the employment agreement provides for the rights and responsibilities of the parties in the event of certain terminations of Mr. Foca’s employment, as further described in </w:t>
      </w:r>
      <w:r>
        <w:rPr>
          <w:color w:val="000000"/>
        </w:rPr>
        <w:t xml:space="preserve">“—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 xml:space="preserve">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Outstanding Equity Awards at 2025 Fiscal Year-End Table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outstanding equity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61"/>
        <w:gridCol w:w="226"/>
        <w:gridCol w:w="227"/>
        <w:gridCol w:w="109"/>
        <w:gridCol w:w="109"/>
        <w:gridCol w:w="109"/>
        <w:gridCol w:w="155"/>
        <w:gridCol w:w="155"/>
        <w:gridCol w:w="156"/>
        <w:gridCol w:w="109"/>
        <w:gridCol w:w="109"/>
        <w:gridCol w:w="109"/>
        <w:gridCol w:w="285"/>
        <w:gridCol w:w="285"/>
        <w:gridCol w:w="286"/>
        <w:gridCol w:w="109"/>
        <w:gridCol w:w="109"/>
        <w:gridCol w:w="109"/>
        <w:gridCol w:w="360"/>
        <w:gridCol w:w="361"/>
        <w:gridCol w:w="331"/>
        <w:gridCol w:w="109"/>
        <w:gridCol w:w="109"/>
        <w:gridCol w:w="109"/>
        <w:gridCol w:w="203"/>
        <w:gridCol w:w="203"/>
        <w:gridCol w:w="196"/>
        <w:gridCol w:w="109"/>
        <w:gridCol w:w="109"/>
        <w:gridCol w:w="109"/>
        <w:gridCol w:w="360"/>
        <w:gridCol w:w="361"/>
        <w:gridCol w:w="246"/>
        <w:gridCol w:w="109"/>
        <w:gridCol w:w="109"/>
        <w:gridCol w:w="109"/>
        <w:gridCol w:w="191"/>
        <w:gridCol w:w="191"/>
        <w:gridCol w:w="192"/>
        <w:gridCol w:w="109"/>
        <w:gridCol w:w="109"/>
        <w:gridCol w:w="109"/>
        <w:gridCol w:w="181"/>
        <w:gridCol w:w="181"/>
        <w:gridCol w:w="182"/>
        <w:gridCol w:w="109"/>
        <w:gridCol w:w="109"/>
        <w:gridCol w:w="109"/>
        <w:gridCol w:w="222"/>
        <w:gridCol w:w="222"/>
        <w:gridCol w:w="223"/>
        <w:gridCol w:w="109"/>
        <w:gridCol w:w="109"/>
        <w:gridCol w:w="109"/>
        <w:gridCol w:w="208"/>
        <w:gridCol w:w="208"/>
        <w:gridCol w:w="304"/>
      </w:tblGrid>
      <w:tr>
        <w:trPr/>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Number of</w:t>
              <w:br/>
              <w:t>securities</w:t>
              <w:br/>
              <w:t>underlying</w:t>
              <w:br/>
              <w:t>unexercised</w:t>
              <w:br/>
              <w:t>options</w:t>
              <w:br/>
              <w:t>(#)</w:t>
              <w:b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Number of</w:t>
              <w:br/>
              <w:t>securities</w:t>
              <w:br/>
              <w:t>underlying</w:t>
              <w:br/>
              <w:t>unexercised</w:t>
              <w:br/>
              <w:t>options</w:t>
              <w:br/>
              <w:t>(#)</w:t>
              <w:b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Option</w:t>
              <w:br/>
              <w:t>exercise</w:t>
              <w:br/>
              <w:t>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Number of shares or units of stock that have not vested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Market value of shares or units of stock that have not vested (4)(5)</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Equity Incentive Plan Awards: Number of unearned shares, units, or other rights that have not vested (5)(6)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Equity Incentive Plan Awards: Market or payout value of unearned shares, units, or other rights that have not vested (5)(6)</w:t>
              <w:br/>
              <w:t>($)</w:t>
            </w:r>
          </w:p>
        </w:tc>
      </w:tr>
      <w:tr>
        <w:trPr/>
        <w:tc>
          <w:tcPr>
            <w:tcW w:w="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Craig Peters,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71,869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127,420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172,264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1,565,691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1,758,203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939,415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61,875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66,500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89,110</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67,000</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Nate Gandert, Senior Vice President and 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13,996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29,535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39,938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488,216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986,117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292,930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48,653.00 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Gene Foca, Senior Vice President and Chief Marketing and Revenue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639,523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1,029,047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47,217.00 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229,375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20,625.00 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48,653.00 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1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stock option awards vest over four years, with 25% of the total number of shares subject to the option vesting on the first anniversary of the vesting commencement date and the remaining 75% vesting in equal quarterly installments thereafter. In addition, the stock option will fully vest and become fully exercisable upon a Change in Control (as defined in the option agreement) of Getty Images subject to the understanding that the Business Combination did not constitute a change in control for purposes of the option agreement.</w:t>
      </w:r>
    </w:p>
    <w:p>
      <w:pPr>
        <w:pStyle w:val="TextBody"/>
        <w:bidi w:val="0"/>
        <w:spacing w:lineRule="auto" w:line="288" w:before="1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One third of the stock option awards and RSUs vested on March 20, 2024, with the remaining vesting in substantially equal quarterly installments for the following two years.</w:t>
      </w:r>
    </w:p>
    <w:p>
      <w:pPr>
        <w:pStyle w:val="TextBody"/>
        <w:bidi w:val="0"/>
        <w:spacing w:lineRule="auto" w:line="288" w:before="1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RSUs vest in four quarterly installments starting March 2026.</w:t>
      </w:r>
    </w:p>
    <w:p>
      <w:pPr>
        <w:pStyle w:val="TextBody"/>
        <w:bidi w:val="0"/>
        <w:spacing w:lineRule="auto" w:line="288" w:before="1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RSUs vest in four quarterly installments starting March 2027.</w:t>
      </w:r>
    </w:p>
    <w:p>
      <w:pPr>
        <w:pStyle w:val="TextBody"/>
        <w:bidi w:val="0"/>
        <w:spacing w:lineRule="auto" w:line="288" w:before="1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are represented at a market value based upon the closing price of the Company’s Class A common stock on December 31, 2025, of $1.34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PSUs from the annual equity awards granted in fiscal years 2024 and 2025 for which the performance criteria have not been established as of December 31, 2025, have been treated as outstanding at target for purposes of this table but are not yet treated as granted under ASC Topic 718.</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Potential Payments Upon Termination or Change in Control</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Named Executive Officer’s employment agreements provides for severance payments and benefits upon certain terminations of employment with Getty Images and its affiliates, as described further below. Each Named Executive Officer’s rights with respect to his or her equity participation in Getty Images or its affiliates is governed by the applicable equity documents (as defined in the respective employment agreement) and the Named Executive Officer’s rights with respect to employee benefits will be governed by the documents governing such employee benefits.</w:t>
      </w:r>
    </w:p>
    <w:p>
      <w:pPr>
        <w:pStyle w:val="TextBody"/>
        <w:bidi w:val="0"/>
        <w:spacing w:lineRule="auto" w:line="288" w:before="160" w:after="283"/>
        <w:ind w:left="0" w:right="0" w:firstLine="720"/>
        <w:jc w:val="both"/>
        <w:rPr/>
      </w:pPr>
      <w:r>
        <w:rPr>
          <w:rFonts w:ascii="Times New Roman;serif" w:hAnsi="Times New Roman;serif"/>
          <w:b w:val="false"/>
          <w:color w:val="000000"/>
          <w:sz w:val="20"/>
        </w:rPr>
        <w:t>As provided in the applicable employment agreement, upon the termination of a Named Executive Officer’s employment term and his or her employment by us for “cause” or due to his or her resignation without “good reason” (as each such term is defined in his or her respective employment agreement), the Named Executive Officer will be entitled to receive his or her base salary through the date of termination, any annual bonus earned, but unpaid, as of the termination date for the immediately preceding fiscal year, reimbursement for any unreimbursed business expenses that have been properly incurred by him or her prior to the termination date and that are or have been submitted in accordance with the applicable Getty Images policy, and such employees benefits (as defined in his or her employment agreement), if any, that the Named Executive Officer may be entitled under our employee benefit plans, which will not include payment for any unused vacation or paid time off, as applicable, unless required by applicable law (all of the amounts described in this sentence are referred to the “</w:t>
      </w:r>
      <w:r>
        <w:rPr>
          <w:rFonts w:ascii="Times New Roman;serif" w:hAnsi="Times New Roman;serif"/>
          <w:b w:val="false"/>
          <w:color w:val="000000"/>
          <w:sz w:val="20"/>
          <w:u w:val="single"/>
        </w:rPr>
        <w:t>Accrued Rights</w:t>
      </w:r>
      <w:r>
        <w:rPr>
          <w:color w:val="000000"/>
        </w:rPr>
        <w:t>”</w:t>
      </w:r>
      <w:r>
        <w:rPr>
          <w:rFonts w:ascii="Times New Roman;serif" w:hAnsi="Times New Roman;serif"/>
          <w:b w:val="false"/>
          <w:color w:val="000000"/>
          <w:sz w:val="20"/>
        </w:rPr>
        <w: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termination of a Named Executive Officer’s employment term and his or her employment due to the Named Executive Officer’s “death” or “disability” (as each such term is defined in his or her respective employment agreement), the Named Executive Officer will be entitled to receive the Accrued Rights and his or her estate will benefit from a term life insurance policy provided by Getty Images and intended to provide a payment of a death benefit equal to the “base severance” (as defined below).</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Named Executive Officer’s employment term and his or her employment is terminated by Getty Images without “cause” or by the Named Executive Officer for “good reason” (as each such term is defined in his or her respective employment agreement), the Named Executive Officer will be entitled to receive, in addition to the Accrued Rights, and subject to his or her execution and non-revocation of a release of claims in a form acceptable to Getty Images as provided in his or her employment agreement and continued compliance with the following restrictive covenants set forth in his or her employment agreement:</w:t>
      </w:r>
    </w:p>
    <w:p>
      <w:pPr>
        <w:pStyle w:val="TextBody"/>
        <w:bidi w:val="0"/>
        <w:spacing w:lineRule="auto" w:line="268" w:before="0" w:after="0"/>
        <w:ind w:left="0" w:right="0" w:hanging="180"/>
        <w:jc w:val="both"/>
        <w:rPr/>
      </w:pPr>
      <w:r>
        <w:rPr>
          <w:color w:val="000000"/>
        </w:rPr>
        <w:t>•</w:t>
      </w:r>
      <w:r>
        <w:rPr>
          <w:rFonts w:ascii="Times New Roman;serif" w:hAnsi="Times New Roman;serif"/>
          <w:b w:val="false"/>
          <w:color w:val="000000"/>
          <w:sz w:val="20"/>
        </w:rPr>
        <w:t>payments totaling in the aggregate (i) the sum of (x) 150% (200% in the case of Mr. Peters) of the Named Executive Officer’s base salary and (y) 150% (200% in the case of Mr. Peters) of the Named Executive Officer’s target annual cash bonus opportunity in respect of the fiscal year that the termination date occurs or (ii) in the case of Mr. Peters, his base salary and target annual cash bonus opportunity for the period from the termination date through the last day of the employment term, if greater than such amount in (i), in each case, payable over a 18-month (24- month in the case of Mr. Peters) period (such amounts, the “</w:t>
      </w:r>
      <w:r>
        <w:rPr>
          <w:rFonts w:ascii="Times New Roman;serif" w:hAnsi="Times New Roman;serif"/>
          <w:b w:val="false"/>
          <w:color w:val="000000"/>
          <w:sz w:val="20"/>
          <w:u w:val="single"/>
        </w:rPr>
        <w:t>Base Severance</w:t>
      </w:r>
      <w:r>
        <w:rPr>
          <w:color w:val="000000"/>
        </w:rPr>
        <w:t>”</w:t>
      </w:r>
      <w:r>
        <w:rPr>
          <w:rFonts w:ascii="Times New Roman;serif" w:hAnsi="Times New Roman;serif"/>
          <w:b w:val="false"/>
          <w:color w:val="000000"/>
          <w:sz w:val="20"/>
        </w:rPr>
        <w:t>);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continued coverage under our group health and welfare plans for a period until the later of 18 months (24 months in the case of Mr. Peters) following the termination date on the same basis (including payment of monthly premiums) as provided by us to senior-level executives (or, a monthly payment in an amount equal to our cost of providing such benefit if this benefit would trigger adverse tax consequences), which will be discontinued if the Named Executive Officer becomes eligible for similar benefits from a successor employer (the “Continued Health Benefits”).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Named Executive Officer elects not to extend the employment term of his or her employment agreement, unless terminated earlier, he or she will be entitled to receive the Accrued Rights. In the event we elect not to extend the employment term of a Named Executive Officer’s employment agreement, unless terminated earlier, he or she will be entitled to receive the Accrued Rights and, subject to the Named Executive Officer’s execution and non-revocation of a release of claims in a form acceptable to us as provided in the employment agreement, the Continued Health Benefits and equal payments totaling in the aggregate the base severance payable over an 18-month (24-month in the case of Mr. Peters)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four of our non-employee directors received compensation (cash retainers, equity awards, fees or other compensation) for service on our Board of Directors. Our Board of Directors expects to review director compensation periodically to ensure that director compensation remains competitive such that we are able to recruit and retain qualified directors.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27, 2023, our Board of Directors adopted our Non-Employee Directors Annual Compensation Program designed to align compensation with business objectives and the creation of stockholder value, while enabling Getty Images to attract, retain, incentivize and reward directors who contribute to the long-term success of the Company. Pursuant to this policy, each member of our Board of Directors who is not our employee nor Mark Getty, Chinh Chu, Patrick Maxwell, Brett Watson, or Michael Harris, is eligible to receive the following compensation for his or her service as a member of our Board of Directors: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i/>
          <w:color w:val="000000"/>
          <w:sz w:val="20"/>
        </w:rPr>
        <w:t>Cash Fees</w:t>
      </w:r>
      <w:r>
        <w:rPr>
          <w:rFonts w:ascii="Times New Roman;serif" w:hAnsi="Times New Roman;serif"/>
          <w:b w:val="false"/>
          <w:color w:val="000000"/>
          <w:sz w:val="20"/>
        </w:rPr>
        <w:t>. Commencing on July 22, 2022, an annual cash retainer of $40,000 per year. The chairs of the Audit Committee, Compensation Committee and Nominating and Corporate Governance Committee receive cash retainers in the amount of $20,000, $15,000, and $10,000, respectively, for his or her respective committee service as a chair. Members of the Audit Committee, Compensation Committee, and Nominating and Corporate Governance Committee receive cash retainers in the amount of $10,000, $7,500, and $5,000 respectively. All cash fees shall be pro-rated for the director’s time served on our Board of Directors;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i/>
          <w:color w:val="000000"/>
          <w:sz w:val="20"/>
        </w:rPr>
        <w:t>Equity</w:t>
      </w:r>
      <w:r>
        <w:rPr>
          <w:rFonts w:ascii="Times New Roman;serif" w:hAnsi="Times New Roman;serif"/>
          <w:b w:val="false"/>
          <w:color w:val="000000"/>
          <w:sz w:val="20"/>
        </w:rPr>
        <w:t>. Eligible directors will receive a grant of restricted stock units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equal to the grant value of $390,000 at the time of grant, with a four-year vesting period, subject to the director’s continued service on our Board of Directors. For the initial grant, 25% of the RSUs vest on the first anniversary of the date of grant, and the remaining 75% vest in equal quarterly installments thereafter. Directors will receive a new grant every four years. Directors with existing stock options were not issued a new grant at the time of the approval of the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policy is to reimburse our non-employee directors for reasonable out of pocket expenses incurred that are integrally related to service as a member of our Board of Directors, including travel and lodging expenses related to attendance at meetings or performing other services in their capacities as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compensation earned by or paid to the non-employee members of our Board of Directors during the year ended December 31, 2025.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2025 Director Compensation Table</w:t>
      </w:r>
    </w:p>
    <w:tbl>
      <w:tblPr>
        <w:tblW w:w="7160" w:type="dxa"/>
        <w:jc w:val="left"/>
        <w:tblInd w:w="0" w:type="dxa"/>
        <w:tblLayout w:type="fixed"/>
        <w:tblCellMar>
          <w:top w:w="28" w:type="dxa"/>
          <w:left w:w="28" w:type="dxa"/>
          <w:bottom w:w="28" w:type="dxa"/>
          <w:right w:w="28" w:type="dxa"/>
        </w:tblCellMar>
      </w:tblPr>
      <w:tblGrid>
        <w:gridCol w:w="611"/>
        <w:gridCol w:w="537"/>
        <w:gridCol w:w="546"/>
        <w:gridCol w:w="109"/>
        <w:gridCol w:w="109"/>
        <w:gridCol w:w="109"/>
        <w:gridCol w:w="369"/>
        <w:gridCol w:w="369"/>
        <w:gridCol w:w="371"/>
        <w:gridCol w:w="109"/>
        <w:gridCol w:w="109"/>
        <w:gridCol w:w="109"/>
        <w:gridCol w:w="250"/>
        <w:gridCol w:w="250"/>
        <w:gridCol w:w="251"/>
        <w:gridCol w:w="109"/>
        <w:gridCol w:w="109"/>
        <w:gridCol w:w="109"/>
        <w:gridCol w:w="440"/>
        <w:gridCol w:w="440"/>
        <w:gridCol w:w="441"/>
        <w:gridCol w:w="109"/>
        <w:gridCol w:w="109"/>
        <w:gridCol w:w="109"/>
        <w:gridCol w:w="360"/>
        <w:gridCol w:w="361"/>
        <w:gridCol w:w="256"/>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Fees</w:t>
              <w:br/>
              <w:t>earned or</w:t>
              <w:br/>
              <w:t>paid 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Awards</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Chinh Chu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Getty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Maxwell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James Quella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Hilary Schneider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Titterton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20"/>
        </w:rPr>
        <w:t xml:space="preserve">Amounts represent the grant date fair value of the stock awards granted to our non-employee directors, as computed in accordance with FASB ASC Topic 718, excluding estimated forfeitures. See </w:t>
      </w:r>
      <w:r>
        <w:rPr>
          <w:color w:val="000000"/>
        </w:rPr>
        <w:t>“</w:t>
      </w:r>
      <w:r>
        <w:rPr>
          <w:rFonts w:ascii="Times New Roman;serif" w:hAnsi="Times New Roman;serif"/>
          <w:b w:val="false"/>
          <w:i/>
          <w:color w:val="000000"/>
          <w:sz w:val="20"/>
        </w:rPr>
        <w:t>Note 14 — Equity-Based Compensation”</w:t>
      </w:r>
      <w:r>
        <w:rPr>
          <w:color w:val="000000"/>
        </w:rPr>
        <w:t xml:space="preserve"> </w:t>
      </w:r>
      <w:r>
        <w:rPr>
          <w:rFonts w:ascii="Times New Roman;serif" w:hAnsi="Times New Roman;serif"/>
          <w:b w:val="false"/>
          <w:color w:val="000000"/>
          <w:sz w:val="20"/>
        </w:rPr>
        <w:t>to our audited consolidated financial statements contained in the 2025 Form 10-K for the assumptions used in computing the grant date fair value of such awards.</w:t>
      </w:r>
    </w:p>
    <w:p>
      <w:pPr>
        <w:pStyle w:val="TextBody"/>
        <w:bidi w:val="0"/>
        <w:spacing w:lineRule="auto" w:line="288" w:before="100" w:after="283"/>
        <w:ind w:left="0" w:right="0" w:hanging="36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20"/>
        </w:rPr>
        <w:t>The following table presents the number of outstanding and unexercised stock option awards and the number of outstanding RSUs held by each of the non-employee directors as of December 31, 2025.</w:t>
      </w:r>
    </w:p>
    <w:p>
      <w:pPr>
        <w:pStyle w:val="TextBody"/>
        <w:bidi w:val="0"/>
        <w:spacing w:lineRule="auto" w:line="288" w:before="100" w:after="283"/>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20"/>
        </w:rPr>
        <w:t>James Quella resigned from our Board of Directors on April 1, 2026.</w:t>
      </w:r>
    </w:p>
    <w:p>
      <w:pPr>
        <w:pStyle w:val="TextBody"/>
        <w:bidi w:val="0"/>
        <w:spacing w:lineRule="auto" w:line="288" w:before="100" w:after="283"/>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20"/>
        </w:rPr>
        <w:t>Hilary Schneider resigned from our Board of Directors on July 20,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ind w:left="0" w:right="0" w:hanging="360"/>
        <w:jc w:val="both"/>
        <w:rPr/>
      </w:pPr>
      <w:r>
        <w:rPr/>
      </w:r>
    </w:p>
    <w:tbl>
      <w:tblPr>
        <w:tblW w:w="6172"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669"/>
        <w:gridCol w:w="669"/>
        <w:gridCol w:w="671"/>
        <w:gridCol w:w="109"/>
        <w:gridCol w:w="109"/>
        <w:gridCol w:w="109"/>
        <w:gridCol w:w="531"/>
        <w:gridCol w:w="531"/>
        <w:gridCol w:w="753"/>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Subject to Outstanding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RSUs (#)</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106,268</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James Quella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38,086</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Hilary Schneider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Titterton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38,086</w:t>
            </w:r>
          </w:p>
        </w:tc>
      </w:tr>
    </w:tbl>
    <w:p>
      <w:pPr>
        <w:pStyle w:val="TextBody"/>
        <w:bidi w:val="0"/>
        <w:spacing w:before="240" w:after="283"/>
        <w:ind w:left="0" w:right="0" w:hanging="450"/>
        <w:jc w:val="both"/>
        <w:rPr/>
      </w:pPr>
      <w:r>
        <w:rPr/>
      </w:r>
    </w:p>
    <w:p>
      <w:pPr>
        <w:pStyle w:val="TextBody"/>
        <w:bidi w:val="0"/>
        <w:spacing w:before="240" w:after="283"/>
        <w:ind w:left="0" w:right="0" w:firstLine="720"/>
        <w:jc w:val="center"/>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as of August 17, 2026, the number of shares of our Class A common stock beneficially owned by each director, NEO, all directors and executive officers as a group, and each person or entity we know to be the beneficial owner of more than 5% of our Class A common stock.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 beneficial ownership includes voting or investment power with respect to securities and includes the shares of Class A common stock issuable pursuant to options and warrants that are exercisable or settled within 60 days of the date of this table. Shares of Class A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 Except as otherwise indicated, all share ownership is as of August 17, 2026 and the percentage of beneficial ownership is based on 414,811,306 shares of Class A common stock outstanding. Unless otherwise indicated, we believe that all persons named in the table below have sole voting and investment power with respect to all shares of Class A common stock beneficially owned by them.</w:t>
      </w:r>
    </w:p>
    <w:p>
      <w:pPr>
        <w:pStyle w:val="TextBody"/>
        <w:bidi w:val="0"/>
        <w:spacing w:lineRule="auto" w:line="288" w:before="16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business address of each beneficial owner is c/o Getty Images Holdings, Inc., 605 5th Ave. S. Suite 400, Seattle, WA 98104, unless otherwise indicated below.</w:t>
      </w:r>
    </w:p>
    <w:tbl>
      <w:tblPr>
        <w:tblW w:w="7507" w:type="dxa"/>
        <w:jc w:val="left"/>
        <w:tblInd w:w="0" w:type="dxa"/>
        <w:tblLayout w:type="fixed"/>
        <w:tblCellMar>
          <w:top w:w="28" w:type="dxa"/>
          <w:left w:w="28" w:type="dxa"/>
          <w:bottom w:w="28" w:type="dxa"/>
          <w:right w:w="28" w:type="dxa"/>
        </w:tblCellMar>
      </w:tblPr>
      <w:tblGrid>
        <w:gridCol w:w="1673"/>
        <w:gridCol w:w="1471"/>
        <w:gridCol w:w="1475"/>
        <w:gridCol w:w="109"/>
        <w:gridCol w:w="109"/>
        <w:gridCol w:w="109"/>
        <w:gridCol w:w="399"/>
        <w:gridCol w:w="399"/>
        <w:gridCol w:w="401"/>
        <w:gridCol w:w="109"/>
        <w:gridCol w:w="109"/>
        <w:gridCol w:w="109"/>
        <w:gridCol w:w="233"/>
        <w:gridCol w:w="233"/>
        <w:gridCol w:w="569"/>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of Class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 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Mark Getty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13,347,502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Tracy Knox</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Maxwell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Craig Peters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Chinh Chu</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17,646,607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Walper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Jeffrey Titterton</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Abrams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 Foca</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Nate Gandert</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(22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Five Percent Holders of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Getty Family Stockholders</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191,374,006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KED Icon Holdings, LLC</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115,259,246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*Less than 1%</w:t>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Interests shown consist of (i) 7,794,004 shares of Class A common stock held by Mark Getty and (ii) (a) 5,089,413 shares of Class A common stock to be held by The October 1993 Trust and (b) 464,085 shares of Class A common stock held by The Options Settlement, which shares Mr. Getty may be deemed to beneficially own by virtue of his indirect ownership in such entities. Mr. Getty is one of three directors of Getty Investments and therefore he may be deemed to share voting and investment power over the shares held by Getty Investments. The shares of Class A common stock held by The October 1993 Trust are pledged to the Cheyne Walk Trust (see footnote 8 below) in respect of a guarantee it provides against certain credit facilities.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Interests shown consist of 46,492 shares of Class A common stock and 6,642 shares of Class A common stock issuable upon vesting and settlement of RSUs.</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Interests shown consist of 1,197,811 shares of Class A common stock, 16,625 shares of Class A common stock issuable upon vesting and settlement of RSUs and 1,269,743 shares of Class A common stock issuable upon exercise of vested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The interests shown consist of (i) 5,762,560 shares of Class A common stock held by CC NB Sponsor 2 Holdings LLC, (ii) 9,706,670 shares of Class A common stock held by CC Capital SP, LP and (iii) 2,177,377 shares of Class A common stock held by CC NBOKS Holdings LLC. Mr. Chu is deemed to be the beneficial owner of such shares due to his control of these entities.</w:t>
      </w:r>
    </w:p>
    <w:p>
      <w:pPr>
        <w:pStyle w:val="TextBody"/>
        <w:bidi w:val="0"/>
        <w:spacing w:lineRule="auto" w:line="288" w:before="12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Interests shown consist of 61,889 shares of Class A common stock and 4,760 shares of Class A common stock issuable upon vesting and settlement of RSUs.</w:t>
      </w:r>
    </w:p>
    <w:p>
      <w:pPr>
        <w:pStyle w:val="TextBody"/>
        <w:bidi w:val="0"/>
        <w:spacing w:lineRule="auto" w:line="288" w:before="120" w:after="283"/>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Interests shown consist of 463,030 shares of Class A common stock, 8,312 shares of Class A common stock issuable upon vesting and settlement of RSUs and 350,953 shares of Class A common stock issuable upon exercise of vested options.</w:t>
      </w:r>
    </w:p>
    <w:p>
      <w:pPr>
        <w:pStyle w:val="TextBody"/>
        <w:bidi w:val="0"/>
        <w:spacing w:lineRule="auto" w:line="288" w:before="120" w:after="283"/>
        <w:ind w:left="0" w:right="0" w:hanging="360"/>
        <w:jc w:val="both"/>
        <w:rPr/>
      </w:pPr>
      <w:r>
        <w:rPr>
          <w:rFonts w:ascii="Times New Roman;serif" w:hAnsi="Times New Roman;serif"/>
          <w:b w:val="false"/>
          <w:color w:val="000000"/>
          <w:sz w:val="13"/>
        </w:rPr>
        <w:t>(7)</w:t>
      </w:r>
      <w:r>
        <w:rPr>
          <w:rFonts w:ascii="Times New Roman;serif" w:hAnsi="Times New Roman;serif"/>
          <w:b w:val="false"/>
          <w:color w:val="000000"/>
          <w:sz w:val="20"/>
        </w:rPr>
        <w:t>Interests shown consist of 546,593 shares of Class A common stock, 8,312 shares of Class A common stock issuable upon vesting and settlement of RSUs and 531,124 shares of Class A common stock issuable upon exercise of vested options.</w:t>
      </w:r>
    </w:p>
    <w:p>
      <w:pPr>
        <w:pStyle w:val="TextBody"/>
        <w:bidi w:val="0"/>
        <w:spacing w:lineRule="auto" w:line="288" w:before="120" w:after="283"/>
        <w:ind w:left="0" w:right="0" w:hanging="360"/>
        <w:jc w:val="both"/>
        <w:rPr/>
      </w:pPr>
      <w:r>
        <w:rPr>
          <w:rFonts w:ascii="Times New Roman;serif" w:hAnsi="Times New Roman;serif"/>
          <w:b w:val="false"/>
          <w:color w:val="000000"/>
          <w:sz w:val="13"/>
        </w:rPr>
        <w:t>(8)</w:t>
      </w:r>
      <w:r>
        <w:rPr>
          <w:rFonts w:ascii="Times New Roman;serif" w:hAnsi="Times New Roman;serif"/>
          <w:b w:val="false"/>
          <w:color w:val="000000"/>
          <w:sz w:val="20"/>
        </w:rPr>
        <w:t>Interests shown consist of (i) 178,026,504 shares of Class A common stock held by Getty Investments, (ii) 5,089,413 shares of Class A common stock held by The October 1993 Trust, (iii) 464,085 shares of Class A common stock held by The Options Settlement, and (iv) 7,794,004 shares of Class A common stock held by Mark Getty (Getty Investments, The October 1993 Trust, The Options Settlement and Mr. Getty, collectively, the “</w:t>
      </w:r>
      <w:r>
        <w:rPr>
          <w:rFonts w:ascii="Times New Roman;serif" w:hAnsi="Times New Roman;serif"/>
          <w:b w:val="false"/>
          <w:color w:val="000000"/>
          <w:sz w:val="20"/>
          <w:u w:val="single"/>
        </w:rPr>
        <w:t>Getty Family Stockholders</w:t>
      </w:r>
      <w:r>
        <w:rPr>
          <w:color w:val="000000"/>
        </w:rPr>
        <w:t>”</w:t>
      </w:r>
      <w:r>
        <w:rPr>
          <w:rFonts w:ascii="Times New Roman;serif" w:hAnsi="Times New Roman;serif"/>
          <w:b w:val="false"/>
          <w:color w:val="000000"/>
          <w:sz w:val="20"/>
        </w:rPr>
        <w:t>). The Cheyne Walk Trust is the sole owner of Cheyne Walk Master Fund 2 LP, which is the majority owner of Getty Investments, and the Cheyne Walk Trust may be deemed to have indirect beneficial ownership of Getty Investments’ 178,026,504 shares of Class A common stock. According to a Schedule 13D/A filed with the SEC on January 8, 2025, the business address of Getty Investments, the Cheyne Walk Trust and Cheyne Walk Master Fund 2 LP is 5390 Kietzke Lane, Suite 202, Reno, Nevada 89511.</w:t>
      </w:r>
    </w:p>
    <w:p>
      <w:pPr>
        <w:pStyle w:val="TextBody"/>
        <w:bidi w:val="0"/>
        <w:spacing w:lineRule="auto" w:line="288" w:before="120" w:after="283"/>
        <w:ind w:left="0" w:right="0" w:hanging="360"/>
        <w:jc w:val="both"/>
        <w:rPr/>
      </w:pPr>
      <w:r>
        <w:rPr>
          <w:rFonts w:ascii="Times New Roman;serif" w:hAnsi="Times New Roman;serif"/>
          <w:b w:val="false"/>
          <w:color w:val="000000"/>
          <w:sz w:val="13"/>
        </w:rPr>
        <w:t>(9)</w:t>
      </w:r>
      <w:r>
        <w:rPr>
          <w:rFonts w:ascii="Times New Roman;serif" w:hAnsi="Times New Roman;serif"/>
          <w:b w:val="false"/>
          <w:color w:val="000000"/>
          <w:sz w:val="20"/>
        </w:rPr>
        <w:t>Interests shown consist of 115,259,246 shares of Class A Common Stock held by Wood River Capital, LLC as the nominee of KED Icon Holdings, LLC (“</w:t>
      </w:r>
      <w:r>
        <w:rPr>
          <w:rFonts w:ascii="Times New Roman;serif" w:hAnsi="Times New Roman;serif"/>
          <w:b w:val="false"/>
          <w:color w:val="000000"/>
          <w:sz w:val="20"/>
          <w:u w:val="single"/>
        </w:rPr>
        <w:t>KED Icon</w:t>
      </w:r>
      <w:r>
        <w:rPr>
          <w:color w:val="000000"/>
        </w:rPr>
        <w:t>”</w:t>
      </w:r>
      <w:r>
        <w:rPr>
          <w:rFonts w:ascii="Times New Roman;serif" w:hAnsi="Times New Roman;serif"/>
          <w:b w:val="false"/>
          <w:color w:val="000000"/>
          <w:sz w:val="20"/>
        </w:rPr>
        <w:t>). According to a Schedule 13D/A filed with the SEC on January 2, 2026 and Form 3 filed with the SEC on January 2, 2026, KED Icon is beneficially owned by KED Holdings, LP (“</w:t>
      </w:r>
      <w:r>
        <w:rPr>
          <w:rFonts w:ascii="Times New Roman;serif" w:hAnsi="Times New Roman;serif"/>
          <w:b w:val="false"/>
          <w:color w:val="000000"/>
          <w:sz w:val="20"/>
          <w:u w:val="single"/>
        </w:rPr>
        <w:t>KED Holdings</w:t>
      </w:r>
      <w:r>
        <w:rPr>
          <w:color w:val="000000"/>
        </w:rPr>
        <w:t>”</w:t>
      </w:r>
      <w:r>
        <w:rPr>
          <w:rFonts w:ascii="Times New Roman;serif" w:hAnsi="Times New Roman;serif"/>
          <w:b w:val="false"/>
          <w:color w:val="000000"/>
          <w:sz w:val="20"/>
        </w:rPr>
        <w:t>), KED Holdings is beneficially owned by Koch Equity Development LLC (“</w:t>
      </w:r>
      <w:r>
        <w:rPr>
          <w:rFonts w:ascii="Times New Roman;serif" w:hAnsi="Times New Roman;serif"/>
          <w:b w:val="false"/>
          <w:color w:val="000000"/>
          <w:sz w:val="20"/>
          <w:u w:val="single"/>
        </w:rPr>
        <w:t>Koch Equity</w:t>
      </w:r>
      <w:r>
        <w:rPr>
          <w:color w:val="000000"/>
        </w:rPr>
        <w:t>”</w:t>
      </w:r>
      <w:r>
        <w:rPr>
          <w:rFonts w:ascii="Times New Roman;serif" w:hAnsi="Times New Roman;serif"/>
          <w:b w:val="false"/>
          <w:color w:val="000000"/>
          <w:sz w:val="20"/>
        </w:rPr>
        <w:t>) (and controlled by KED GP, LLC (“</w:t>
      </w:r>
      <w:r>
        <w:rPr>
          <w:rFonts w:ascii="Times New Roman;serif" w:hAnsi="Times New Roman;serif"/>
          <w:b w:val="false"/>
          <w:color w:val="000000"/>
          <w:sz w:val="20"/>
          <w:u w:val="single"/>
        </w:rPr>
        <w:t>KED GP</w:t>
      </w:r>
      <w:r>
        <w:rPr>
          <w:color w:val="000000"/>
        </w:rPr>
        <w:t>”</w:t>
      </w:r>
      <w:r>
        <w:rPr>
          <w:rFonts w:ascii="Times New Roman;serif" w:hAnsi="Times New Roman;serif"/>
          <w:b w:val="false"/>
          <w:color w:val="000000"/>
          <w:sz w:val="20"/>
        </w:rPr>
        <w:t>), which is also beneficially owned by Koch Equity), Koch Equity is beneficially owned by Koch Investments Group, LLC (“</w:t>
      </w:r>
      <w:r>
        <w:rPr>
          <w:rFonts w:ascii="Times New Roman;serif" w:hAnsi="Times New Roman;serif"/>
          <w:b w:val="false"/>
          <w:color w:val="000000"/>
          <w:sz w:val="20"/>
          <w:u w:val="single"/>
        </w:rPr>
        <w:t>KIG</w:t>
      </w:r>
      <w:r>
        <w:rPr>
          <w:color w:val="000000"/>
        </w:rPr>
        <w:t>”</w:t>
      </w:r>
      <w:r>
        <w:rPr>
          <w:rFonts w:ascii="Times New Roman;serif" w:hAnsi="Times New Roman;serif"/>
          <w:b w:val="false"/>
          <w:color w:val="000000"/>
          <w:sz w:val="20"/>
        </w:rPr>
        <w:t>), KIG is beneficially owned by Koch Investments Group Holdings, LLC (“</w:t>
      </w:r>
      <w:r>
        <w:rPr>
          <w:rFonts w:ascii="Times New Roman;serif" w:hAnsi="Times New Roman;serif"/>
          <w:b w:val="false"/>
          <w:color w:val="000000"/>
          <w:sz w:val="20"/>
          <w:u w:val="single"/>
        </w:rPr>
        <w:t>KIGH</w:t>
      </w:r>
      <w:r>
        <w:rPr>
          <w:color w:val="000000"/>
        </w:rPr>
        <w:t>”</w:t>
      </w:r>
      <w:r>
        <w:rPr>
          <w:rFonts w:ascii="Times New Roman;serif" w:hAnsi="Times New Roman;serif"/>
          <w:b w:val="false"/>
          <w:color w:val="000000"/>
          <w:sz w:val="20"/>
        </w:rPr>
        <w:t>), KIGH is beneficially owned by Koch Companies, LLC (“</w:t>
      </w:r>
      <w:r>
        <w:rPr>
          <w:rFonts w:ascii="Times New Roman;serif" w:hAnsi="Times New Roman;serif"/>
          <w:b w:val="false"/>
          <w:color w:val="000000"/>
          <w:sz w:val="20"/>
          <w:u w:val="single"/>
        </w:rPr>
        <w:t>KCLLC</w:t>
      </w:r>
      <w:r>
        <w:rPr>
          <w:color w:val="000000"/>
        </w:rPr>
        <w:t>”</w:t>
      </w:r>
      <w:r>
        <w:rPr>
          <w:rFonts w:ascii="Times New Roman;serif" w:hAnsi="Times New Roman;serif"/>
          <w:b w:val="false"/>
          <w:color w:val="000000"/>
          <w:sz w:val="20"/>
        </w:rPr>
        <w:t xml:space="preserve">), and KCLLC is beneficially owned by Koch, Inc., in each case by means of ownership of all voting equity instruments. The address of the principal office and principal business of each of the foregoing entities is 4111 East 37th Street North, Wichita, Kansas 67220.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directors and executive officers, and persons who own more than 10% of a registered class of our Class A common stock, to file with the SEC reports of ownership of such securities and changes in reported ownership.</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Based on a review of reports filed with the SEC, or written representations from reporting persons that all reportable transactions were reported, we believe that, during 2025, our directors, executive officers, and 10% stockholders timely filed all reports that were required to be filed under Section 16(a).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 written related person transaction policy that sets forth the following policies and procedures for the review and approval or ratification of related person transactions. Under the policy:</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any related person transaction, and any material amendment or modification to a related person transaction, must be reviewed and approved or ratified by a committee of our Board of Directors composed solely of independent directors who are disinterested or by the disinterested members of our Board of Directors;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any employment relationship or transaction involving an executive officer and any related compensation must be approved by the Compensation Committee of our Board of Directors or recommended by the Compensation Committee to our Board of Directors for its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review and approval or ratification of a related person transaction: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advise the committee or disinterested directors, as applicable, as to whether the related person transaction will be required to be disclosed in our applicable filings under the Exchange Act, and related rules, and, to the extent required to be disclosed, management must ensure that the related person transaction is disclosed in accordance with such Act and related rules;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advise the committee or disinterested directors, as applicable, as to whether the related person transaction constitutes a “personal loan” for purposes of Section 402 of the Sarbanes-Oxley Act.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related person transaction policy provides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and NYSE.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person who is, or at any time during the applicable period was, one of the Company’s executive officers or one of the Company’s directors;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person who is known to be the beneficial owner of more than 5% of the Company’s voting stock;</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Class A common stock, and any person (other than a tenant or employee) sharing the household of such director, executive officer or beneficial owner of more than 5% of our Class A common stock;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Related Person Transactions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Below are transactions, arrangements and relationships that exceed or are reasonably expected to exceed $120,000 in a single fiscal year with our directors, executive officers and stockholders owning 5% or more of our outstanding Class A common stock, or any member of the immediate family of any of the foregoing persons, since January 1, 2024, other than equity and other compensation, termination, change in control and other arrangements, which are described under “</w:t>
      </w:r>
      <w:r>
        <w:rPr>
          <w:rFonts w:ascii="Times New Roman;serif" w:hAnsi="Times New Roman;serif"/>
          <w:b w:val="false"/>
          <w:i/>
          <w:color w:val="000000"/>
          <w:sz w:val="20"/>
        </w:rPr>
        <w:t>Executive and Director Compensation</w:t>
      </w:r>
      <w:r>
        <w:rPr>
          <w:rFonts w:ascii="Times New Roman;serif" w:hAnsi="Times New Roman;serif"/>
          <w:b w:val="false"/>
          <w:color w:val="000000"/>
          <w:sz w:val="20"/>
        </w:rPr>
        <w:t xml:space="preserve">.” </w:t>
      </w:r>
    </w:p>
    <w:p>
      <w:pPr>
        <w:pStyle w:val="TextBody"/>
        <w:bidi w:val="0"/>
        <w:spacing w:lineRule="auto" w:line="288" w:before="200" w:after="283"/>
        <w:ind w:left="0" w:right="0" w:firstLine="450"/>
        <w:jc w:val="both"/>
        <w:rPr>
          <w:rFonts w:ascii="Times New Roman;serif" w:hAnsi="Times New Roman;serif"/>
          <w:b/>
          <w:color w:val="000000"/>
          <w:sz w:val="20"/>
        </w:rPr>
      </w:pPr>
      <w:r>
        <w:rPr>
          <w:rFonts w:ascii="Times New Roman;serif" w:hAnsi="Times New Roman;serif"/>
          <w:b/>
          <w:color w:val="000000"/>
          <w:sz w:val="20"/>
        </w:rPr>
        <w:t>Stockholders Agreement</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Sponsor, the equity holders of the Sponsor, certain equity holders of Griffey Global Holdings Inc., and certain other parties entered into the Stockholders Agreement, relating to, among other things, the composition of our Board of Directors. In accordance with the Stockholders Agreement, the composition of our Board of Directors currently is (a) three directors nominated by Getty Investments: Patrick Maxwell, Mark Getty and Tracy Knox; (b) two directors nominated by Koch Icon: Michael Harris and Brett Watson; (c) one director nominated by CC Capital: Chinh Chu; (d) the chief executive officer of the Company (which is Craig Peters) and (e) a number of independent directors sufficient to comply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both"/>
        <w:rPr/>
      </w:pPr>
      <w:r>
        <w:rPr>
          <w:rFonts w:ascii="Times New Roman;serif" w:hAnsi="Times New Roman;serif"/>
          <w:b w:val="false"/>
          <w:color w:val="000000"/>
          <w:sz w:val="20"/>
        </w:rPr>
        <w:t>requisite independence requirements of the NYSE and the rules and regulations of the SEC. See “</w:t>
      </w:r>
      <w:r>
        <w:rPr>
          <w:rFonts w:ascii="Times New Roman;serif" w:hAnsi="Times New Roman;serif"/>
          <w:b w:val="false"/>
          <w:i/>
          <w:color w:val="000000"/>
          <w:sz w:val="20"/>
        </w:rPr>
        <w:t>Corporate Governance--Board Composition</w:t>
      </w:r>
      <w:r>
        <w:rPr>
          <w:color w:val="000000"/>
        </w:rPr>
        <w:t xml:space="preserve">” </w:t>
      </w:r>
      <w:r>
        <w:rPr>
          <w:rFonts w:ascii="Times New Roman;serif" w:hAnsi="Times New Roman;serif"/>
          <w:b w:val="false"/>
          <w:color w:val="000000"/>
          <w:sz w:val="20"/>
        </w:rPr>
        <w:t>above for more information. See also “</w:t>
      </w:r>
      <w:r>
        <w:rPr>
          <w:rFonts w:ascii="Times New Roman;serif" w:hAnsi="Times New Roman;serif"/>
          <w:b w:val="false"/>
          <w:i/>
          <w:color w:val="000000"/>
          <w:sz w:val="20"/>
        </w:rPr>
        <w:t>Significant Stockholder Agreement</w:t>
      </w:r>
      <w:r>
        <w:rPr>
          <w:color w:val="000000"/>
        </w:rPr>
        <w:t xml:space="preserve">” </w:t>
      </w:r>
      <w:r>
        <w:rPr>
          <w:rFonts w:ascii="Times New Roman;serif" w:hAnsi="Times New Roman;serif"/>
          <w:b w:val="false"/>
          <w:color w:val="000000"/>
          <w:sz w:val="20"/>
        </w:rPr>
        <w:t>below.</w:t>
      </w:r>
    </w:p>
    <w:p>
      <w:pPr>
        <w:pStyle w:val="TextBody"/>
        <w:bidi w:val="0"/>
        <w:spacing w:lineRule="auto" w:line="288" w:before="200" w:after="283"/>
        <w:ind w:left="0" w:right="0" w:firstLine="450"/>
        <w:jc w:val="both"/>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Closing, the Company, the Sponsor and the persons identified on Schedule A thereto, including the Getty Family Stockholders and Koch Icon, entered into the Registration Rights Agreement,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commercially reasonable best efforts to have such shelf registration statement declared effective as soon as practicable after the filing thereof, but no later than the 90th day (or the 120th day if the SEC notifies the Company that it will “review” such shelf registration statement) following the filing deadline, in each case subject to the terms and conditions set forth therein; and the Company will not be subject to any form of monetary penalty for its failure to do so. </w:t>
      </w:r>
    </w:p>
    <w:p>
      <w:pPr>
        <w:pStyle w:val="TextBody"/>
        <w:bidi w:val="0"/>
        <w:spacing w:lineRule="auto" w:line="276" w:before="200" w:after="283"/>
        <w:ind w:left="0" w:right="0" w:firstLine="450"/>
        <w:jc w:val="both"/>
        <w:rPr>
          <w:rFonts w:ascii="Times New Roman;serif" w:hAnsi="Times New Roman;serif"/>
          <w:b/>
          <w:color w:val="000000"/>
          <w:sz w:val="20"/>
        </w:rPr>
      </w:pPr>
      <w:r>
        <w:rPr>
          <w:rFonts w:ascii="Times New Roman;serif" w:hAnsi="Times New Roman;serif"/>
          <w:b/>
          <w:color w:val="000000"/>
          <w:sz w:val="20"/>
        </w:rPr>
        <w:t>Restated Option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Getty Investments is a party to a Restated Option Agreement, dated February 9, 1998 (as amended on February 9, 1998, February 24, 2008, and August 14, 2012, the “</w:t>
      </w:r>
      <w:r>
        <w:rPr>
          <w:rFonts w:ascii="Times New Roman;serif" w:hAnsi="Times New Roman;serif"/>
          <w:b w:val="false"/>
          <w:color w:val="000000"/>
          <w:sz w:val="20"/>
          <w:u w:val="single"/>
        </w:rPr>
        <w:t>Restated Option Agreement</w:t>
      </w:r>
      <w:r>
        <w:rPr>
          <w:color w:val="000000"/>
        </w:rPr>
        <w:t>”</w:t>
      </w:r>
      <w:r>
        <w:rPr>
          <w:rFonts w:ascii="Times New Roman;serif" w:hAnsi="Times New Roman;serif"/>
          <w:b w:val="false"/>
          <w:color w:val="000000"/>
          <w:sz w:val="20"/>
        </w:rPr>
        <w:t>) pursuant to which Getty Investments has the right to obtain ownership of the Getty Marks (as defined in the Restated Option Agreement) in the event one or more third parties acquire a controlling interest in Getty Images, Inc. In connection with the entry into the Business Combination Agreement, Getty Investments entered into the Fourth Amendment to the Restated Option Agreement, which provides that the Restated Option Agreement will automatically terminate if, and on the date following the Closing Date on which, the Getty Family Stockholders (together with their respective successors and any permitted transferees) beneficially own less than 27,500,000 shares of Class A common stock (as adjusted for stock splits, stock combinations, and similar transactions).</w:t>
      </w:r>
    </w:p>
    <w:p>
      <w:pPr>
        <w:pStyle w:val="TextBody"/>
        <w:bidi w:val="0"/>
        <w:spacing w:lineRule="auto" w:line="288" w:before="160" w:after="283"/>
        <w:ind w:left="0" w:right="0" w:firstLine="450"/>
        <w:jc w:val="both"/>
        <w:rPr/>
      </w:pPr>
      <w:r>
        <w:rPr>
          <w:rFonts w:ascii="Times New Roman;serif" w:hAnsi="Times New Roman;serif"/>
          <w:b/>
          <w:color w:val="000000"/>
          <w:sz w:val="20"/>
        </w:rPr>
        <w:t>Significant Stockholder Agreement</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Concurrently with the execution of the Shutterstock Merger Agreement, the Getty Family Stockholders, Koch Icon and Mr. Jonathan Oringer, the Executive Chairman of Shutterstock (each, a “</w:t>
      </w:r>
      <w:r>
        <w:rPr>
          <w:rFonts w:ascii="Times New Roman;serif" w:hAnsi="Times New Roman;serif"/>
          <w:b w:val="false"/>
          <w:color w:val="000000"/>
          <w:sz w:val="20"/>
          <w:u w:val="single"/>
        </w:rPr>
        <w:t>Significant Stockholder</w:t>
      </w:r>
      <w:r>
        <w:rPr>
          <w:color w:val="000000"/>
        </w:rPr>
        <w:t>”</w:t>
      </w:r>
      <w:r>
        <w:rPr>
          <w:rFonts w:ascii="Times New Roman;serif" w:hAnsi="Times New Roman;serif"/>
          <w:b w:val="false"/>
          <w:color w:val="000000"/>
          <w:sz w:val="20"/>
        </w:rPr>
        <w:t>) entered into the Significant Stockholder Agreement (the “</w:t>
      </w:r>
      <w:r>
        <w:rPr>
          <w:rFonts w:ascii="Times New Roman;serif" w:hAnsi="Times New Roman;serif"/>
          <w:b w:val="false"/>
          <w:color w:val="000000"/>
          <w:sz w:val="20"/>
          <w:u w:val="single"/>
        </w:rPr>
        <w:t>Significant Stockholder Agreement</w:t>
      </w:r>
      <w:r>
        <w:rPr>
          <w:color w:val="000000"/>
        </w:rPr>
        <w:t>”</w:t>
      </w:r>
      <w:r>
        <w:rPr>
          <w:rFonts w:ascii="Times New Roman;serif" w:hAnsi="Times New Roman;serif"/>
          <w:b w:val="false"/>
          <w:color w:val="000000"/>
          <w:sz w:val="20"/>
        </w:rPr>
        <w:t xml:space="preserve">). Pursuant to the Significant Stockholder Agreement, the Getty Family Stockholders, Koch Icon and Mr. Oringer have agreed to certain restrictions on transfers of their shares of Class A common stock following the closing of business combination between the Company and Shutterstock, including (a) any transfers during the 90 days following the closing or (b) thereafter, to any direct competitor of Getty Images or any activist shareholder, in each case, subject to certain limited exceptions including in sales through open market transactions. These restrictions terminate based on certain thresholds of the Significant Stockholders’ beneficial ownership. </w:t>
      </w:r>
    </w:p>
    <w:p>
      <w:pPr>
        <w:pStyle w:val="TextBody"/>
        <w:bidi w:val="0"/>
        <w:spacing w:before="0" w:after="0"/>
        <w:ind w:left="0" w:right="0" w:firstLine="567"/>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July 7, 2026, Getty Images terminated the Shutterstock Merger Agreement pursuant to the terms thereof. In connection with the termination of the Shutterstock Merger Agreement, the Significant Stockholder Agreement was automatically terminated.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Letter Agreements </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Times New Roman;serif" w:hAnsi="Times New Roman;serif"/>
          <w:b w:val="false"/>
          <w:color w:val="000000"/>
          <w:sz w:val="20"/>
        </w:rPr>
        <w:t>Also concurrently with the execution of the Shutterstock Merger Agreement, the Getty Family Stockholders and Koch Icon each entered into a letter agreement with the Company, in each case dated as of January 6, 2025 (each, a “</w:t>
      </w:r>
      <w:r>
        <w:rPr>
          <w:rFonts w:ascii="Times New Roman;serif" w:hAnsi="Times New Roman;serif"/>
          <w:b w:val="false"/>
          <w:color w:val="000000"/>
          <w:sz w:val="20"/>
          <w:u w:val="single"/>
        </w:rPr>
        <w:t>Letter Agreement</w:t>
      </w:r>
      <w:r>
        <w:rPr>
          <w:color w:val="000000"/>
        </w:rPr>
        <w:t>”</w:t>
      </w:r>
      <w:r>
        <w:rPr>
          <w:rFonts w:ascii="Times New Roman;serif" w:hAnsi="Times New Roman;serif"/>
          <w:b w:val="false"/>
          <w:color w:val="000000"/>
          <w:sz w:val="20"/>
        </w:rPr>
        <w:t>), wherein (a) the Getty Family Stockholders and Koch Icon have agreed to certain restrictions on transfers of their shares of Class A common stock and associated voting rights until the earlier of (i) termination of the Shutterstock Merger Agreement in accordance with its terms or (ii) the closing of the transaction, (b) each of the Getty Family Stockholders and Koch Icon have agreed to cooperate with the Company in connection with (A) termination of the existing Stockholders Agreement, to be effective as of closing of the transaction and (B) seeking regulatory approvals required in connection with the transaction, and (c) the Company has agreed to provide reimbursement to the Getty Family Stockholders and Koch Icon for certain expenses incurred in connection with the transaction, in each case up to a cap of $400,000 (such cap, however, does not apply to expenses incurred in connection with litigation or regulatory approvals). CC NB Sponsor 2 Holdings LLC, CC Capital and NBOKS have also each entered into a Letter Agreement with the Company, in each case dated as of January 6, 2025, which contain similar provisions with respect to reimbursement for certain of their expenses incurred in connection with the transaction and their cooperation in connection with termination of the existing Stockholders Agreement, to be effective as of the closing. In connection with the termination of the Shutterstock Merger Agreement, the aforementioned letter agreements were automatically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ind w:left="0" w:right="0" w:firstLine="567"/>
        <w:jc w:val="both"/>
        <w:rPr/>
      </w:pPr>
      <w:r>
        <w:rPr/>
      </w: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Other Related Person Transactions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Mikael Cho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Stephanie Liverani, the spouse of Mikael Cho, Senior Vice President — CEO, Unsplash, is employed by a subsidiary of Getty Images and serves as Vice President &amp; Co-Founder, Unsplash. In 2025 and 2024, she was paid approximately $271,000 and $265,000 in base salary and $152,000 and $234,000 in cash bonus, respectively. Additionally, Christopher Liverani, the brother-in-law of Mikael Cho, Senior Vice President — CEO, Unsplash, is employed by a subsidiary of Getty Images and serves as Brand Partnerships Executive. In 2025 and 2024, he was paid approximately $223,000 and $206,000 in base salary and $209,000 and $323,000 in commissions, respectively. Each individual participated in other regular and customary employee benefit programs generally available to all Getty Images employees. In addition, the amount of compensation was determined in accordance with the Company’s standard compensation practices applicable to similarly situated employees.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Limitation on Liability and Indemnification of Officers and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indemnify our directors and executive officers to the fullest extent permitted by law. Further, we have entered into customary indemnification agreements with our directors and executive officers. These agreements require us to indemnify these individuals to the fullest extent permitted by applicable law against liabilities that may arise by reason of their service to the Company, and to advance expenses incurred as a result of any proceeding against them as to which they could be indemnified.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2027 STOCKHOLDERS’ PROPOSALS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Stockholders who intend to have a proposal considered for inclusion in our proxy materials for presentation at our 2027 Annual Meeting of Stockholders pursuant to Rule 14a-8 under the Exchange Act must submit the proposal to our Corporate Secretary at our offices at Getty Images Holdings, Inc., Attn: Corporate Secretary, 605 5th Avenue S., Seattle, Washington, 98104 in writing not later than April 30, 2027.</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less than 90 days nor more than 120 days prior to the anniversary of the preceding year’s annual meeting. Therefore, we must receive notice of such a proposal or nomination for the 2027 Annual Meeting of Stockholders no earlier than June 10, 2027 and no later than July 10, 2027. The notice must contain the information required by the Amended and Restated By-Laws, a copy of which is available upon request to our Corporate Secretary. In the event that the date of the 2027 Annual Meeting of Stockholders is more than 30 days before or more than 70 days after October 8, 2027, then our Corporate Secretary must receive such written notice no later than the 10th day following the day on which public disclosure of the date of such meeting is first made by us.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Stockholders who intend to solicit proxies in reliance on the SEC’s universal proxy rule for director nominees submitted under the advance notice requirements of our Amended and Restated By-Laws must comply with the additional requirements of Rule 14a-19(b). We encourage stockholders who wish to submit a proposal or nomination to seek independent counsel. We will not consider any proposal or nomination that is not timely or otherwise does not meet the Amended and Restated By-Laws and SEC requirements. We reserve the right to reject, rule out of order, or take other appropriate action with respect to any proposal that does not comply with these and other applicable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proxy is solicited by and on behalf of our Board of Directors, whose Notice of Annual Meeting of Stockholders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GETTY IMAGES HOLDINGS, INC.’S ANNUAL REPORT ON FORM 10-K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copy of Getty Images Holding, Inc.’s 2025 Form 10-K , including financial statements and schedules thereto but not including exhibits, as filed with the SEC, will be sent to any stockholder of record on August 17, 2026 without charge upon written request addressed to: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Getty Images Holdings, Inc.</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605 5th Avenue 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Suite 400</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Seattle, WA 98104</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A reasonable fee will be charged for copies of exhibits to the 2025 Form 10-K. You also may access this proxy statement and the 2025 Form 10-K at </w:t>
      </w:r>
      <w:r>
        <w:rPr>
          <w:rFonts w:ascii="Times New Roman;serif" w:hAnsi="Times New Roman;serif"/>
          <w:b w:val="false"/>
          <w:i/>
          <w:color w:val="000000"/>
          <w:sz w:val="20"/>
        </w:rPr>
        <w:t>www.eqproxyportal.com/26903/annual</w:t>
      </w:r>
      <w:r>
        <w:rPr>
          <w:color w:val="000000"/>
        </w:rPr>
        <w:t xml:space="preserve"> </w:t>
      </w:r>
      <w:r>
        <w:rPr>
          <w:rFonts w:ascii="Times New Roman;serif" w:hAnsi="Times New Roman;serif"/>
          <w:b w:val="false"/>
          <w:color w:val="000000"/>
          <w:sz w:val="20"/>
        </w:rPr>
        <w:t xml:space="preserve">and on the SEC’s website at </w:t>
      </w:r>
      <w:r>
        <w:rPr>
          <w:rFonts w:ascii="Times New Roman;serif" w:hAnsi="Times New Roman;serif"/>
          <w:b w:val="false"/>
          <w:i/>
          <w:color w:val="000000"/>
          <w:sz w:val="20"/>
        </w:rPr>
        <w:t>www.sec.gov.</w:t>
      </w:r>
    </w:p>
    <w:p>
      <w:pPr>
        <w:pStyle w:val="TextBody"/>
        <w:bidi w:val="0"/>
        <w:spacing w:lineRule="auto" w:line="288" w:before="160" w:after="283"/>
        <w:ind w:left="0" w:right="0" w:firstLine="450"/>
        <w:jc w:val="both"/>
        <w:rPr>
          <w:rFonts w:ascii="Times New Roman;serif" w:hAnsi="Times New Roman;serif"/>
          <w:b/>
          <w:color w:val="000000"/>
          <w:sz w:val="20"/>
        </w:rPr>
      </w:pPr>
      <w:r>
        <w:rPr>
          <w:rFonts w:ascii="Times New Roman;serif" w:hAnsi="Times New Roman;serif"/>
          <w:b/>
          <w:color w:val="000000"/>
          <w:sz w:val="20"/>
        </w:rPr>
        <w:t>WHETHER OR NOT YOU PLAN TO ATTEND THE 2026 ANNUAL MEETING ONLINE, WE URGE YOU TO VOTE YOUR SHARES VIA THE TOLL-FREE TELEPHONE NUMBER OR OVER THE INTERNET, AS DESCRIBED IN THE INTERNET NOTICE AND THIS PROXY STATEMENT. IF YOU RECEIVED A COPY OF THE PROXY CARD BY MAIL, YOU MAY SIGN, DATE AND MAIL THE PROXY CARD IN THE ENCLOSED RETURN ENVELOPE. PROMPTLY VOTING YOUR SHARES WILL ENSURE THE PRESENCE OF A QUORUM AT THE 2026 ANNUAL MEETING AND WILL SAVE US THE EXPENSE OF FURTHER SOLICITATION.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160" w:after="283"/>
        <w:jc w:val="left"/>
        <w:rPr/>
      </w:pPr>
      <w:r>
        <w:rPr/>
        <w:drawing>
          <wp:inline distT="0" distB="0" distL="0" distR="0">
            <wp:extent cx="1000125" cy="361950"/>
            <wp:effectExtent l="0" t="0" r="0" b="0"/>
            <wp:docPr id="7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 descr=""/>
                    <pic:cNvPicPr>
                      <a:picLocks noChangeAspect="1" noChangeArrowheads="1"/>
                    </pic:cNvPicPr>
                  </pic:nvPicPr>
                  <pic:blipFill>
                    <a:blip r:embed="rId7"/>
                    <a:stretch>
                      <a:fillRect/>
                    </a:stretch>
                  </pic:blipFill>
                  <pic:spPr bwMode="auto">
                    <a:xfrm>
                      <a:off x="0" y="0"/>
                      <a:ext cx="1000125" cy="361950"/>
                    </a:xfrm>
                    <a:prstGeom prst="rect">
                      <a:avLst/>
                    </a:prstGeom>
                  </pic:spPr>
                </pic:pic>
              </a:graphicData>
            </a:graphic>
          </wp:inline>
        </w:drawing>
      </w:r>
      <w:bookmarkStart w:id="5" w:name="i-6"/>
      <w:bookmarkEnd w:id="5"/>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 and Corporate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is not aware of any matter to be presented for action at the 2026 Annual Meeting other than the matters referred to above and does not intend to bring any other matters before the 2026 Annual Meeting. However, if other matters should come before the 2026 Annual Meeting, it is intended that the proxy holders named on the Company’s proxy card will vote thereon in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A: Amended and Restated Certificate of Incorporation</w: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AMENDED AND RESTATED</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CERTIFICATE OF INCORPORATION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OF</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GETTY IMAGES HOLDINGS,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Getty Images Holdings, Inc.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a corporation organized and existing under, and by virtue of,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name of this corporation is Getty Images Holdings, Inc.</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 This corporation was originally incorporated under the name Vector Holding, Inc. The original certificate of incorporation was filed on July 21, 2022 and a certificate of correction was filed on July 22, 2022. Amended and restated certificates of incorporation were filed on July 22, 2022 and June 14, 2024 (the “</w:t>
      </w:r>
      <w:r>
        <w:rPr>
          <w:rFonts w:ascii="Times New Roman;serif" w:hAnsi="Times New Roman;serif"/>
          <w:b w:val="false"/>
          <w:color w:val="000000"/>
          <w:sz w:val="20"/>
          <w:u w:val="single"/>
        </w:rPr>
        <w:t>Prior Restated Certificate of Incorporation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 At a meeting of the Board of Directors of the Corporation resolutions were duly adopted setting forth a proposed amendment and restatement of the Prior Restated Certificate of Incorporation of the Corporation (this “</w:t>
      </w:r>
      <w:r>
        <w:rPr>
          <w:rFonts w:ascii="Times New Roman;serif" w:hAnsi="Times New Roman;serif"/>
          <w:b w:val="false"/>
          <w:color w:val="000000"/>
          <w:sz w:val="20"/>
          <w:u w:val="single"/>
        </w:rPr>
        <w:t>Amended and Restated Certificate of Incorporation</w:t>
      </w:r>
      <w:r>
        <w:rPr>
          <w:color w:val="000000"/>
        </w:rPr>
        <w:t>”</w:t>
      </w:r>
      <w:r>
        <w:rPr>
          <w:rFonts w:ascii="Times New Roman;serif" w:hAnsi="Times New Roman;serif"/>
          <w:b w:val="false"/>
          <w:color w:val="000000"/>
          <w:sz w:val="20"/>
        </w:rPr>
        <w:t>), declaring this Amended and Restated Certificate of Incorporation to be advisable and calling a meeting of the stockholders of the Corporation for consideration thereof.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Pursuant to resolution of its Board of Directors, a meeting of the stockholders of the Corporation was duly called and held upon notice in accordance with Section 222 of the DGCL at which meeting the necessary number of shares as required by statute were voted in favor of this Amended and Restated Certificate of Incorporation.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This Amended and Restated Certificate of Incorporation amends and restates the provisions of the Prior Restated Certificate of Incorporation.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(6) Upon the filing and effectiveness (the “</w:t>
      </w:r>
      <w:r>
        <w:rPr>
          <w:rFonts w:ascii="Times New Roman;serif" w:hAnsi="Times New Roman;serif"/>
          <w:b w:val="false"/>
          <w:color w:val="000000"/>
          <w:sz w:val="20"/>
          <w:u w:val="single"/>
        </w:rPr>
        <w:t>Effective Time</w:t>
      </w:r>
      <w:r>
        <w:rPr>
          <w:color w:val="000000"/>
        </w:rPr>
        <w:t>”</w:t>
      </w:r>
      <w:r>
        <w:rPr>
          <w:rFonts w:ascii="Times New Roman;serif" w:hAnsi="Times New Roman;serif"/>
          <w:b w:val="false"/>
          <w:color w:val="000000"/>
          <w:sz w:val="20"/>
        </w:rPr>
        <w:t>) pursuant to the DGCL of this Amended and Restated Certificate of Incorporation, each [● shares][share] of the Corporation’s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issued and outstanding immediately prior to the Effective Time shall automatically be combined and converted into one validly issued, fully paid and nonassessable share of Class A Common Stock without any further action by the Corporation or the holder thereof, subject to the treatment of fractional share interests as described below.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 This Amended and Restated Certificate of Incorporation was duly adopted in accordance with the provisions of Section 242 and Section 245 of the DGCL.</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 The Effective Time of this Amended and Restated Certificate of Incorporation shall be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(9) The text of this Amended and Restated Certificate of Incorporation shall read, in its entirety, as follows: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pPr>
      <w:r>
        <w:rPr>
          <w:rFonts w:ascii="Times New Roman;serif" w:hAnsi="Times New Roman;serif"/>
          <w:b/>
          <w:color w:val="000000"/>
          <w:sz w:val="20"/>
        </w:rPr>
        <w:t>AMENDED AND RESTATED</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CERTIFICATE OF INCORPORATION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OF</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1.1.          </w:t>
      </w:r>
      <w:r>
        <w:rPr>
          <w:rFonts w:ascii="Times New Roman;serif" w:hAnsi="Times New Roman;serif"/>
          <w:b w:val="false"/>
          <w:color w:val="000000"/>
          <w:sz w:val="20"/>
          <w:u w:val="single"/>
        </w:rPr>
        <w:t>Name</w:t>
      </w:r>
      <w:r>
        <w:rPr>
          <w:rFonts w:ascii="Times New Roman;serif" w:hAnsi="Times New Roman;serif"/>
          <w:b w:val="false"/>
          <w:color w:val="000000"/>
          <w:sz w:val="20"/>
        </w:rPr>
        <w:t>. The name of the Corporation is Getty Images Holdings, Inc.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2.1.          </w:t>
      </w:r>
      <w:r>
        <w:rPr>
          <w:rFonts w:ascii="Times New Roman;serif" w:hAnsi="Times New Roman;serif"/>
          <w:b w:val="false"/>
          <w:color w:val="000000"/>
          <w:sz w:val="20"/>
          <w:u w:val="single"/>
        </w:rPr>
        <w:t>Address</w:t>
      </w:r>
      <w:r>
        <w:rPr>
          <w:rFonts w:ascii="Times New Roman;serif" w:hAnsi="Times New Roman;serif"/>
          <w:b w:val="false"/>
          <w:color w:val="000000"/>
          <w:sz w:val="20"/>
        </w:rPr>
        <w:t>. The registered office of the Corporation in the State of Delaware is Corporation Trust Center, 1209 Orange Street, Wilmington, County of New Castle, Delaware 19801; and the name of the Corporation’s registered agent at such address is The Corporation Trust Company.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3.1.          </w:t>
      </w:r>
      <w:r>
        <w:rPr>
          <w:rFonts w:ascii="Times New Roman;serif" w:hAnsi="Times New Roman;serif"/>
          <w:b w:val="false"/>
          <w:color w:val="000000"/>
          <w:sz w:val="20"/>
          <w:u w:val="single"/>
        </w:rPr>
        <w:t>Purpose</w:t>
      </w:r>
      <w:r>
        <w:rPr>
          <w:rFonts w:ascii="Times New Roman;serif" w:hAnsi="Times New Roman;serif"/>
          <w:b w:val="false"/>
          <w:color w:val="000000"/>
          <w:sz w:val="20"/>
        </w:rPr>
        <w:t>. The purpose of the Corporation is to engage in any lawful act or activity for which corporations may now or hereafter be organized under the DGCL.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4.1.          </w:t>
      </w:r>
      <w:r>
        <w:rPr>
          <w:rFonts w:ascii="Times New Roman;serif" w:hAnsi="Times New Roman;serif"/>
          <w:b w:val="false"/>
          <w:color w:val="000000"/>
          <w:sz w:val="20"/>
          <w:u w:val="single"/>
        </w:rPr>
        <w:t>Capitalization</w:t>
      </w:r>
      <w:r>
        <w:rPr>
          <w:rFonts w:ascii="Times New Roman;serif" w:hAnsi="Times New Roman;serif"/>
          <w:b w:val="false"/>
          <w:color w:val="000000"/>
          <w:sz w:val="20"/>
        </w:rPr>
        <w:t>. The total number of shares of all classes of stock that the Corporation is authorized to issue is [●] shares, consisting of (A) 1,000,000 shares of Preferred Stock, par value $0.0001 per share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 (B) [●] shares of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and (C) 5,140,000 shares of Class B Non-Voting Common Stock, par value $0.0001 per share (“</w:t>
      </w:r>
      <w:r>
        <w:rPr>
          <w:rFonts w:ascii="Times New Roman;serif" w:hAnsi="Times New Roman;serif"/>
          <w:b w:val="false"/>
          <w:color w:val="000000"/>
          <w:sz w:val="20"/>
          <w:u w:val="single"/>
        </w:rPr>
        <w:t>Class B Common Stock</w:t>
      </w:r>
      <w:r>
        <w:rPr>
          <w:color w:val="000000"/>
        </w:rPr>
        <w:t xml:space="preserve">” </w:t>
      </w:r>
      <w:r>
        <w:rPr>
          <w:rFonts w:ascii="Times New Roman;serif" w:hAnsi="Times New Roman;serif"/>
          <w:b w:val="false"/>
          <w:color w:val="000000"/>
          <w:sz w:val="20"/>
        </w:rPr>
        <w:t>and, together with the Class A Common Stock,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of which 2,570,000 shares are designated as Series B-1 Common Stock, par value $0.0001 per share (“</w:t>
      </w:r>
      <w:r>
        <w:rPr>
          <w:rFonts w:ascii="Times New Roman;serif" w:hAnsi="Times New Roman;serif"/>
          <w:b w:val="false"/>
          <w:color w:val="000000"/>
          <w:sz w:val="20"/>
          <w:u w:val="single"/>
        </w:rPr>
        <w:t>Series B-1 Common Stock</w:t>
      </w:r>
      <w:r>
        <w:rPr>
          <w:color w:val="000000"/>
        </w:rPr>
        <w:t>”</w:t>
      </w:r>
      <w:r>
        <w:rPr>
          <w:rFonts w:ascii="Times New Roman;serif" w:hAnsi="Times New Roman;serif"/>
          <w:b w:val="false"/>
          <w:color w:val="000000"/>
          <w:sz w:val="20"/>
        </w:rPr>
        <w:t>), and 2,570,000 shares are designated as Series B-2 Common Stock, par value $0.0001 per share (“</w:t>
      </w:r>
      <w:r>
        <w:rPr>
          <w:rFonts w:ascii="Times New Roman;serif" w:hAnsi="Times New Roman;serif"/>
          <w:b w:val="false"/>
          <w:color w:val="000000"/>
          <w:sz w:val="20"/>
          <w:u w:val="single"/>
        </w:rPr>
        <w:t>Series B-2 Common Stock</w:t>
      </w:r>
      <w:r>
        <w:rPr>
          <w:color w:val="000000"/>
        </w:rPr>
        <w:t>”</w:t>
      </w:r>
      <w:r>
        <w:rPr>
          <w:rFonts w:ascii="Times New Roman;serif" w:hAnsi="Times New Roman;serif"/>
          <w:b w:val="false"/>
          <w:color w:val="000000"/>
          <w:sz w:val="20"/>
        </w:rPr>
        <w:t>). The number of authorized shares of any of the Class A Common Stock, Class B Common Stock or Preferred Stock may be increased or decreased (but not below the number of shares of such class or series then outstanding or, in the case of Class A Common Stock, necessary for issuance upon conversion of outstanding shares of Class B Common Stock) by the affirmative vote of the holders of a majority in voting power of the stock of the Corporation entitled to vote thereon irrespective of the provisions of Section 242(b)(2) of the DGCL (or any successor provision thereto), and no vote of the holders of any of the Class A Common Stock, the Class B Common Stock or Preferred Stock voting separately as a class shall be required therefor, unless a vote of any such holder is required pursuant to this Amended and Restated Certificate of Incorporation (this “</w:t>
      </w:r>
      <w:r>
        <w:rPr>
          <w:rFonts w:ascii="Times New Roman;serif" w:hAnsi="Times New Roman;serif"/>
          <w:b w:val="false"/>
          <w:color w:val="000000"/>
          <w:sz w:val="20"/>
          <w:u w:val="single"/>
        </w:rPr>
        <w:t>Certificate of Incorporation</w:t>
      </w:r>
      <w:r>
        <w:rPr>
          <w:color w:val="000000"/>
        </w:rPr>
        <w:t>”</w:t>
      </w:r>
      <w:r>
        <w:rPr>
          <w:rFonts w:ascii="Times New Roman;serif" w:hAnsi="Times New Roman;serif"/>
          <w:b w:val="false"/>
          <w:color w:val="000000"/>
          <w:sz w:val="20"/>
        </w:rPr>
        <w:t>) or any certificate of designations relating to any series of Preferred Stock.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4.2.          </w:t>
      </w:r>
      <w:r>
        <w:rPr>
          <w:rFonts w:ascii="Times New Roman;serif" w:hAnsi="Times New Roman;serif"/>
          <w:b w:val="false"/>
          <w:color w:val="000000"/>
          <w:sz w:val="20"/>
          <w:u w:val="single"/>
        </w:rPr>
        <w:t>Preferred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The Board of Directors of the Corporation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designations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Voting Rights</w:t>
      </w:r>
      <w:r>
        <w:rPr>
          <w:rFonts w:ascii="Times New Roman;serif" w:hAnsi="Times New Roman;serif"/>
          <w:b w:val="false"/>
          <w:color w:val="000000"/>
          <w:sz w:val="20"/>
        </w:rPr>
        <w:t>. Except as otherwise required by applicable law, holders of a series of Preferred Stock, as such, shall be entitled only to such voting rights, if any, as shall expressly be granted thereto by this Certificate of Incorporation (including any certificate of designations relating to such series).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4.3.          </w:t>
      </w:r>
      <w:r>
        <w:rPr>
          <w:rFonts w:ascii="Times New Roman;serif" w:hAnsi="Times New Roman;serif"/>
          <w:b w:val="false"/>
          <w:color w:val="000000"/>
          <w:sz w:val="20"/>
          <w:u w:val="single"/>
        </w:rPr>
        <w:t>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Voting Rights</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(1)               Except as otherwise provided in this Certificate of Incorporation or as required by applicable law, each holder of Class A Common Stock, as such, shall be entitled to one vote for each share of Class A Common Stock held of record by such holder on all matters on which stockholders generally are entitled to vote; </w:t>
      </w:r>
      <w:r>
        <w:rPr>
          <w:rFonts w:ascii="Times New Roman;serif" w:hAnsi="Times New Roman;serif"/>
          <w:b w:val="false"/>
          <w:i/>
          <w:color w:val="000000"/>
          <w:sz w:val="20"/>
        </w:rPr>
        <w:t>provided, however</w:t>
      </w:r>
      <w:r>
        <w:rPr>
          <w:rFonts w:ascii="Times New Roman;serif" w:hAnsi="Times New Roman;serif"/>
          <w:b w:val="false"/>
          <w:color w:val="000000"/>
          <w:sz w:val="20"/>
        </w:rPr>
        <w:t>, that to the fullest extent permitted by applicable law, holders of Class A Common Stock, as such, shall have no voting power with respect to, and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Except as required by applicable law, no holder of Class B Common Stock, as such, shall be entitled to any voting rights with respect to Class B Common Stock.</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Except as otherwise provided in this Certificate of Incorporation or required by applicable law, the holders of Common Stock having the right to vote in respect of such Common Stock shall vote together as a single class (or, if the holders of one or more series of Preferred Stock are entitled to vote together with the holders of Common Stock having the right to vote in respect of such Common Stock, as a single class with the holders of such other series of Preferred Stock) on all matters submitted to a vote of the stockholders having voting rights generally.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Dividends and Distributions</w:t>
      </w:r>
      <w:r>
        <w:rPr>
          <w:rFonts w:ascii="Times New Roman;serif" w:hAnsi="Times New Roman;serif"/>
          <w:b w:val="false"/>
          <w:color w:val="000000"/>
          <w:sz w:val="20"/>
        </w:rPr>
        <w:t xml:space="preserve">. Subject to applicable law and the rights, if any, of the holders of any outstanding series of Preferred Stock or any class or series of stock having a preference over or the right to participate with the Class A Common Stock and Class B Common Stock with respect to the payment of dividends and other distributions in cash, stock of any corporation or property of the Corporation, the holders of Class A Common Stock (including Class A Common Stock which converted to Class A Common Stock from Class B Common Stock in accordance with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 xml:space="preserve">below on or prior to the record date for such dividend or other distribution) and Class B Common Stock shall be entitled to receive ratably, taken together as a single class, in proportion to the number of shares held by each such stockholder, such dividends and other distributions as may from time to time be declared by the Board in its discretion out of the assets of the Corporation that are by law available therefor at such times and in such amounts as the Board in its discretion shall determine. Notwithstanding anything to the contrary contained in this Certificate of Incorporation, the payment of any dividend or other distribution so declared with respect to the Class B Common Stock shall be contingent upon, and no dividend or other distribution shall be paid unless and until, the occurrence of a Conversion Event (as defined below), if any, in respect of any such share of Class B Common Stock and, upon declaration of any dividend or other distribution, the record date for such dividend or other distribution with respect to any shares of Class B Common Stock (but, for the avoidance of doubt, not the Class A Common Stock) shall be one day before the Conversion Date (as defined below) with respect to such shares of Class B Common Stock, and the Board shall so set the record date upon such declaration. Such dividends or other distributions with respect to the Class B Common Stock shall be paid to the holders of record of the Class B Common Stock on the Conversion Date with respect to such shares of Class B Common Stock in accordance with </w:t>
      </w:r>
      <w:r>
        <w:rPr>
          <w:rFonts w:ascii="Times New Roman;serif" w:hAnsi="Times New Roman;serif"/>
          <w:b w:val="false"/>
          <w:color w:val="000000"/>
          <w:sz w:val="20"/>
          <w:u w:val="single"/>
        </w:rPr>
        <w:t>Section 4.3(D)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Liquidation, Dissolution or Winding Up</w:t>
      </w:r>
      <w:r>
        <w:rPr>
          <w:rFonts w:ascii="Times New Roman;serif" w:hAnsi="Times New Roman;serif"/>
          <w:b w:val="false"/>
          <w:color w:val="000000"/>
          <w:sz w:val="20"/>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or any class or series of stock having a preference over the Class A Common Stock as to distributions upon dissolution or liquidation or winding up shall be entitled, the holders of all outstanding shares of Class A Common Stock (including Class A Common Stock which converted to Class A Common Stock from Class B Common Stock in accordance with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 xml:space="preserve">on or prior to the date of such liquidation, dissolution or winding up (including if a Conversion Event occurred as a result of such liquidation, dissolution or winding up)) shall be entitled to receive the remaining assets of the Corporation available for distribution ratably in proportion to the number of shares held by each such stockholder. The holders of shares of Class B Common Stock (other than to the extent such liquidation, dissolution or winding up constitutes a Conversion Event, in which case such Class B Common Stock shall automatically convert to Class A Common Stock in accordance with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 xml:space="preserve">and the holders of such resulting Class A Common Stock shall be treated as a holder of Class A Common Stock in accordance with this </w:t>
      </w:r>
      <w:r>
        <w:rPr>
          <w:rFonts w:ascii="Times New Roman;serif" w:hAnsi="Times New Roman;serif"/>
          <w:b w:val="false"/>
          <w:color w:val="000000"/>
          <w:sz w:val="20"/>
          <w:u w:val="single"/>
        </w:rPr>
        <w:t>Section 4.3(C)</w:t>
      </w:r>
      <w:r>
        <w:rPr>
          <w:rFonts w:ascii="Times New Roman;serif" w:hAnsi="Times New Roman;serif"/>
          <w:b w:val="false"/>
          <w:color w:val="000000"/>
          <w:sz w:val="20"/>
        </w:rPr>
        <w:t>) shall not be entitled to receive any assets of the Corporation in the event of any voluntary or involuntary liquidation, dissolution or winding up of the affairs of the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Conversion of Class B 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(1)               Upon the occurrence of any Conversion Event applicable to any shares of Class B Common Stock that occurs during the Earn-out Period (as defined below), such shares of Class B Common Stock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pPr>
      <w:r>
        <w:rPr>
          <w:rFonts w:ascii="Times New Roman;serif" w:hAnsi="Times New Roman;serif"/>
          <w:b w:val="false"/>
          <w:color w:val="000000"/>
          <w:sz w:val="20"/>
        </w:rPr>
        <w:t xml:space="preserve">automatically, without any further action on the part of the record holder thereof or any other person (including the Corporation), convert into and become an equal number of shares of Class A Common Stock, which conversion shall be effective on the Conversion Date with respect to such shares of Class B Common Stock, and the holder of such share of Class B Common Stock shall become a record holder of Class A Common Stock as of such Conversion Date (it being understood that with respect to a Change of Control Vesting Event (as defined below) occurring prior to the expiration of the Earn-Out Period, the holders of such shares of Class A Common Stock so converted as of immediately prior to the Change of Control Transaction (as defined below) shall be eligible to participate in such Change of Control Transaction as holders of Class A Common Stock). Each outstanding stock certificate or book-entry credit, as applicable, that, immediately prior to such Conversion Event, represented one or more shares of Class B Common Stock shall, upon such Conversion Event, be automatically deemed to represent as of the Conversion Date an equal number of shares of Class A Common Stock, without the need for any surrender, exchange or registration thereof or any consent or notification. The Corporation, or any transfer agent of the Corporation, shall, upon the request on or after the Conversion Date of any holder whose shares of Class B Common Stock have been converted into shares of Class A Common Stock as a result of a Conversion Event and upon surrender by such holder to the Corporation, or any transfer agent of the Corporation, of the outstanding certificate(s) formerly representing such holder’s shares of Class B Common Stock (if any), issue and deliver to such holder certificate(s) representing the shares of Class A Common Stock into which such holder’s shares of Class B Common Stock were converted as a result of such Conversion Event (if such shares are certificated) or, if such shares are uncertificated, register such shares in book-entry form, reflecting that such holder is a record holder of Class A Common Stock as of the Conversion Date in respect of the relevant shares of Class B Common Stock. On the day immediately following the day on which the Earn-Out Period expires, all shares of Class B Common Stock that have not converted to shares of Class A Common Stock pursuant to and in accordance with this Certificate of Incorporation shall, automatically, without any further action on the part of the record holder thereof, the Corporation or any other person, be forfeited, cancelled and transferred to the Corporation, without consideration. Upon the occurrence of a Conversion Event with respect to a share of Class B Common Stock, the Dividend Catch-Up Payment (as defined below) in respect of such share of Class B Common Stock shall become payable as of the Conversion Date with respect to such share of Class B Common Stock by the Corporation to the holder of record of such share of Class B Common Stock as of the day immediately prior to such Conversion Date, and shall be paid in accordance with this </w:t>
      </w:r>
      <w:r>
        <w:rPr>
          <w:rFonts w:ascii="Times New Roman;serif" w:hAnsi="Times New Roman;serif"/>
          <w:b w:val="false"/>
          <w:color w:val="000000"/>
          <w:sz w:val="20"/>
          <w:u w:val="single"/>
        </w:rPr>
        <w:t>Section 4.3(D)</w:t>
      </w:r>
      <w:r>
        <w:rPr>
          <w:rFonts w:ascii="Times New Roman;serif" w:hAnsi="Times New Roman;serif"/>
          <w:b w:val="false"/>
          <w:color w:val="000000"/>
          <w:sz w:val="20"/>
        </w:rPr>
        <w:t>. The Corporation shall pay, no later than five (5) Business Days (as defined below) following the Conversion Date with respect to a share of Class B Common Stock for which a Conversion Event applicable to such shares has occurred, the dividends previously declared in respect of such share of Class B Common Stock beginning at the time of the Closing and ending on the day before the Conversion Date with respect to such Class B Common Stock (“</w:t>
      </w:r>
      <w:r>
        <w:rPr>
          <w:rFonts w:ascii="Times New Roman;serif" w:hAnsi="Times New Roman;serif"/>
          <w:b w:val="false"/>
          <w:color w:val="000000"/>
          <w:sz w:val="20"/>
          <w:u w:val="single"/>
        </w:rPr>
        <w:t>Dividend Catch-Up Period</w:t>
      </w:r>
      <w:r>
        <w:rPr>
          <w:color w:val="000000"/>
        </w:rPr>
        <w:t>”</w:t>
      </w:r>
      <w:r>
        <w:rPr>
          <w:rFonts w:ascii="Times New Roman;serif" w:hAnsi="Times New Roman;serif"/>
          <w:b w:val="false"/>
          <w:color w:val="000000"/>
          <w:sz w:val="20"/>
        </w:rPr>
        <w:t>), but not including dividends declared on the Conversion Date (which amount, excluding any amounts declared on the Conversion Date, shall be, for the avoidance of doubt, the aggregate per share amount of dividends declared in respect of a share of Class A Common Stock during the Dividend Catch-Up Period (each such payment, a “</w:t>
      </w:r>
      <w:r>
        <w:rPr>
          <w:rFonts w:ascii="Times New Roman;serif" w:hAnsi="Times New Roman;serif"/>
          <w:b w:val="false"/>
          <w:color w:val="000000"/>
          <w:sz w:val="20"/>
          <w:u w:val="single"/>
        </w:rPr>
        <w:t>Dividend Catch-Up Payment</w:t>
      </w:r>
      <w:r>
        <w:rPr>
          <w:color w:val="000000"/>
        </w:rPr>
        <w:t>”</w:t>
      </w:r>
      <w:r>
        <w:rPr>
          <w:rFonts w:ascii="Times New Roman;serif" w:hAnsi="Times New Roman;serif"/>
          <w:b w:val="false"/>
          <w:color w:val="000000"/>
          <w:sz w:val="20"/>
        </w:rPr>
        <w:t xml:space="preserve">)). If any portion of a Dividend Catch-Up Payment was declared by the Corporation as an in-kind dividend (which for purposes of this Certificate of Incorporation, shall not include any transaction subject to </w:t>
      </w:r>
      <w:r>
        <w:rPr>
          <w:rFonts w:ascii="Times New Roman;serif" w:hAnsi="Times New Roman;serif"/>
          <w:b w:val="false"/>
          <w:color w:val="000000"/>
          <w:sz w:val="20"/>
          <w:u w:val="single"/>
        </w:rPr>
        <w:t>Section 4.3(F)</w:t>
      </w:r>
      <w:r>
        <w:rPr>
          <w:color w:val="000000"/>
        </w:rPr>
        <w:t xml:space="preserve"> </w:t>
      </w:r>
      <w:r>
        <w:rPr>
          <w:rFonts w:ascii="Times New Roman;serif" w:hAnsi="Times New Roman;serif"/>
          <w:b w:val="false"/>
          <w:color w:val="000000"/>
          <w:sz w:val="20"/>
        </w:rPr>
        <w:t xml:space="preserve">hereof), then such portion of the Dividend Catch-Up Payment shall also be paid as an in-kind dividend;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to the extent the Corporation received cash in lieu of the in-kind distributions in respect of shares of Class B Common Stock which were declared substantially concurrently with such in-kind dividend by the Corporation comprising a portion of the Dividend Catch-Up Payment, then such equivalent portion of the Dividend Catch-Up Payment shall be paid in cash in lieu of such in-kind dividend and such holder of Class B Common Stock shall be treated for all purposes as if it received the in-kind distribution of property, which is then immediately exchanged by such holder for cash of equivalent value. If a dividend is declared by the Corporation on any Conversion Date, such dividend shall be paid to the holder of each share of Class B Common Stock converting on such Conversion Date as a holder of Class A Common Stock, and not as part of the Dividend Catch-Up Payment, and the Corporation shall ensure that the holder of the applicable shares of Class B Common Stock on such Conversion Date shall be treated as a record holder of Class A Common Stock (in respect of each share of Class B Common Stock which converted into a share of Class A Common Stock in accordance with this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on such Conversion Date) for purposes of such dividend.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Definitions</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Section 4.3</w:t>
      </w:r>
      <w:r>
        <w:rPr>
          <w:color w:val="000000"/>
        </w:rPr>
        <w:t xml:space="preserve"> </w:t>
      </w:r>
      <w:r>
        <w:rPr>
          <w:rFonts w:ascii="Times New Roman;serif" w:hAnsi="Times New Roman;serif"/>
          <w:b w:val="false"/>
          <w:color w:val="000000"/>
          <w:sz w:val="20"/>
        </w:rPr>
        <w:t>references to:</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B-1 Vesting Event</w:t>
      </w:r>
      <w:r>
        <w:rPr>
          <w:color w:val="000000"/>
        </w:rPr>
        <w:t xml:space="preserve">” </w:t>
      </w:r>
      <w:r>
        <w:rPr>
          <w:rFonts w:ascii="Times New Roman;serif" w:hAnsi="Times New Roman;serif"/>
          <w:b w:val="false"/>
          <w:color w:val="000000"/>
          <w:sz w:val="20"/>
        </w:rPr>
        <w:t>means, with respect to the Series B-1 Common Stock, the first date on which the VWAP of the Class A Common Stock is greater than or equal to the B-1 Vesting Price for a period of at least 20 days out of 30 consecutive Trading Days.</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B-1 Vesting Price</w:t>
      </w:r>
      <w:r>
        <w:rPr>
          <w:color w:val="000000"/>
        </w:rPr>
        <w:t xml:space="preserve">” </w:t>
      </w:r>
      <w:r>
        <w:rPr>
          <w:rFonts w:ascii="Times New Roman;serif" w:hAnsi="Times New Roman;serif"/>
          <w:b w:val="false"/>
          <w:color w:val="000000"/>
          <w:sz w:val="20"/>
        </w:rPr>
        <w:t>means $12.50.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288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B-2 Vesting Event</w:t>
      </w:r>
      <w:r>
        <w:rPr>
          <w:color w:val="000000"/>
        </w:rPr>
        <w:t xml:space="preserve">” </w:t>
      </w:r>
      <w:r>
        <w:rPr>
          <w:rFonts w:ascii="Times New Roman;serif" w:hAnsi="Times New Roman;serif"/>
          <w:b w:val="false"/>
          <w:color w:val="000000"/>
          <w:sz w:val="20"/>
        </w:rPr>
        <w:t>means, with respect to the Series B-2 Common Stock, the first date on which the VWAP of the Class A Common Stock is greater than or equal to the B-2 Vesting Price for a period of at least 20 days out of 30 consecutive Trading Days.</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(d)               “</w:t>
      </w:r>
      <w:r>
        <w:rPr>
          <w:rFonts w:ascii="Times New Roman;serif" w:hAnsi="Times New Roman;serif"/>
          <w:b w:val="false"/>
          <w:color w:val="000000"/>
          <w:sz w:val="20"/>
          <w:u w:val="single"/>
        </w:rPr>
        <w:t>B-2 Vesting Price</w:t>
      </w:r>
      <w:r>
        <w:rPr>
          <w:color w:val="000000"/>
        </w:rPr>
        <w:t xml:space="preserve">” </w:t>
      </w:r>
      <w:r>
        <w:rPr>
          <w:rFonts w:ascii="Times New Roman;serif" w:hAnsi="Times New Roman;serif"/>
          <w:b w:val="false"/>
          <w:color w:val="000000"/>
          <w:sz w:val="20"/>
        </w:rPr>
        <w:t>means $15.00.</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Business Day</w:t>
      </w:r>
      <w:r>
        <w:rPr>
          <w:color w:val="000000"/>
        </w:rPr>
        <w:t xml:space="preserve">” </w:t>
      </w:r>
      <w:r>
        <w:rPr>
          <w:rFonts w:ascii="Times New Roman;serif" w:hAnsi="Times New Roman;serif"/>
          <w:b w:val="false"/>
          <w:color w:val="000000"/>
          <w:sz w:val="20"/>
        </w:rPr>
        <w:t>means any day except a Saturday, a Sunday or any other day on which commercial banks are required or authorized to close in the State of New York.</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Change of Control Transaction</w:t>
      </w:r>
      <w:r>
        <w:rPr>
          <w:color w:val="000000"/>
        </w:rPr>
        <w:t xml:space="preserve">” </w:t>
      </w:r>
      <w:r>
        <w:rPr>
          <w:rFonts w:ascii="Times New Roman;serif" w:hAnsi="Times New Roman;serif"/>
          <w:b w:val="false"/>
          <w:color w:val="000000"/>
          <w:sz w:val="20"/>
        </w:rPr>
        <w:t>means any transaction or series of transactions the result of which is: (I) the acquisition by any Person or “group” (as defined in the Exchange Act (as defined below)) of Persons of direct or indirect beneficial ownership of securities representing 50% or more of the combined voting power of the then outstanding securities of the Corporation; (II) a merger, consolidation, reorganization or other business combination, however effected, resulting in any Person or “group” (as defined in the Exchange Act) acquiring at least 50% of the combined voting power of the then outstanding securities of the Corporation or the surviving Person outstanding immediately after such combination; or (III) a sale of all or substantially all of the assets of the Corporation and its subsidiaries, taken as a whole.</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(g)               “</w:t>
      </w:r>
      <w:r>
        <w:rPr>
          <w:rFonts w:ascii="Times New Roman;serif" w:hAnsi="Times New Roman;serif"/>
          <w:b w:val="false"/>
          <w:color w:val="000000"/>
          <w:sz w:val="20"/>
          <w:u w:val="single"/>
        </w:rPr>
        <w:t>Change of Control Vesting Event</w:t>
      </w:r>
      <w:r>
        <w:rPr>
          <w:color w:val="000000"/>
        </w:rPr>
        <w:t xml:space="preserve">” </w:t>
      </w:r>
      <w:r>
        <w:rPr>
          <w:rFonts w:ascii="Times New Roman;serif" w:hAnsi="Times New Roman;serif"/>
          <w:b w:val="false"/>
          <w:color w:val="000000"/>
          <w:sz w:val="20"/>
        </w:rPr>
        <w:t xml:space="preserve">means, with respect to the Series B-1 Common Stock or Series B-2 Common Stock, a Change of Control Transaction resulting in the holders of Class A Common Stock receiving a per share price (based on the value of the cash, securities or in-kind consideration being delivered in respect of such Class A Common Stock and after giving effect to the conversion of such Class B Common Stock to Class A Common Stock contemplated by this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in connection with and as part of such Change of Control Transaction) equal to or in excess of the B-1 Vesting Price or the B-2 Vesting Price, as applicable.</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(h)               “</w:t>
      </w:r>
      <w:r>
        <w:rPr>
          <w:rFonts w:ascii="Times New Roman;serif" w:hAnsi="Times New Roman;serif"/>
          <w:b w:val="false"/>
          <w:color w:val="000000"/>
          <w:sz w:val="20"/>
          <w:u w:val="single"/>
        </w:rPr>
        <w:t>Conversion Date</w:t>
      </w:r>
      <w:r>
        <w:rPr>
          <w:color w:val="000000"/>
        </w:rPr>
        <w:t xml:space="preserve">” </w:t>
      </w:r>
      <w:r>
        <w:rPr>
          <w:rFonts w:ascii="Times New Roman;serif" w:hAnsi="Times New Roman;serif"/>
          <w:b w:val="false"/>
          <w:color w:val="000000"/>
          <w:sz w:val="20"/>
        </w:rPr>
        <w:t>means: (I) with respect to the B-1 Vesting Event, the date on which the B-1 Vesting Event occurs, (II) with respect to the B-2 Vesting Event, the date on which the B-2 Vesting Event occurs and (III) with respect to the Change of Control Vesting Event, the date immediately prior to the consummation of such Change of Control Transaction.</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(i)                 “</w:t>
      </w:r>
      <w:r>
        <w:rPr>
          <w:rFonts w:ascii="Times New Roman;serif" w:hAnsi="Times New Roman;serif"/>
          <w:b w:val="false"/>
          <w:color w:val="000000"/>
          <w:sz w:val="20"/>
          <w:u w:val="single"/>
        </w:rPr>
        <w:t>Conversion Event</w:t>
      </w:r>
      <w:r>
        <w:rPr>
          <w:color w:val="000000"/>
        </w:rPr>
        <w:t xml:space="preserve">” </w:t>
      </w:r>
      <w:r>
        <w:rPr>
          <w:rFonts w:ascii="Times New Roman;serif" w:hAnsi="Times New Roman;serif"/>
          <w:b w:val="false"/>
          <w:color w:val="000000"/>
          <w:sz w:val="20"/>
        </w:rPr>
        <w:t>means a B-1 Vesting Event, B-2 Vesting Event or Change of Control Vesting Event, in each case, only to the extent such event occurs during the Earn-Out Period.</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(j)                 “</w:t>
      </w:r>
      <w:r>
        <w:rPr>
          <w:rFonts w:ascii="Times New Roman;serif" w:hAnsi="Times New Roman;serif"/>
          <w:b w:val="false"/>
          <w:color w:val="000000"/>
          <w:sz w:val="20"/>
          <w:u w:val="single"/>
        </w:rPr>
        <w:t>Earn-Out Period</w:t>
      </w:r>
      <w:r>
        <w:rPr>
          <w:color w:val="000000"/>
        </w:rPr>
        <w:t xml:space="preserve">” </w:t>
      </w:r>
      <w:r>
        <w:rPr>
          <w:rFonts w:ascii="Times New Roman;serif" w:hAnsi="Times New Roman;serif"/>
          <w:b w:val="false"/>
          <w:color w:val="000000"/>
          <w:sz w:val="20"/>
        </w:rPr>
        <w:t>means the period from the Closing Date through and including the date that is 10 years following the Closing Date (as defined in that certain Business Combination Agreement, dated as of December 9, 2021, by and among the Corporation (f/k/a Vector Holding, LLC), CCNB Neuberger Principal Holdings II, Vector Domestication Merger Sub, LLC, Vector Merger Sub 1, LLC, Vector Merger Sub 2, LLC, Griffey Global Holdings, Inc. and Griffey Investors, LP).</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(k)                “</w:t>
      </w:r>
      <w:r>
        <w:rPr>
          <w:rFonts w:ascii="Times New Roman;serif" w:hAnsi="Times New Roman;serif"/>
          <w:b w:val="false"/>
          <w:color w:val="000000"/>
          <w:sz w:val="20"/>
          <w:u w:val="single"/>
        </w:rPr>
        <w:t>NYSE</w:t>
      </w:r>
      <w:r>
        <w:rPr>
          <w:color w:val="000000"/>
        </w:rPr>
        <w:t xml:space="preserve">” </w:t>
      </w:r>
      <w:r>
        <w:rPr>
          <w:rFonts w:ascii="Times New Roman;serif" w:hAnsi="Times New Roman;serif"/>
          <w:b w:val="false"/>
          <w:color w:val="000000"/>
          <w:sz w:val="20"/>
        </w:rPr>
        <w:t>means the New York Stock Exchange.</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(l)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firm, corporation, partnership, limited liability company, incorporated or unincorporated association, joint venture, joint stock company, governmental agency or instrumentality or other entity of any kind.</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(m)               “</w:t>
      </w:r>
      <w:r>
        <w:rPr>
          <w:rFonts w:ascii="Times New Roman;serif" w:hAnsi="Times New Roman;serif"/>
          <w:b w:val="false"/>
          <w:color w:val="000000"/>
          <w:sz w:val="20"/>
          <w:u w:val="single"/>
        </w:rPr>
        <w:t>Trading Day</w:t>
      </w:r>
      <w:r>
        <w:rPr>
          <w:color w:val="000000"/>
        </w:rPr>
        <w:t xml:space="preserve">” </w:t>
      </w:r>
      <w:r>
        <w:rPr>
          <w:rFonts w:ascii="Times New Roman;serif" w:hAnsi="Times New Roman;serif"/>
          <w:b w:val="false"/>
          <w:color w:val="000000"/>
          <w:sz w:val="20"/>
        </w:rPr>
        <w:t>means any day on which shares of Class A Common Stock are actually traded on the Trading Market.</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(n)                “</w:t>
      </w:r>
      <w:r>
        <w:rPr>
          <w:rFonts w:ascii="Times New Roman;serif" w:hAnsi="Times New Roman;serif"/>
          <w:b w:val="false"/>
          <w:color w:val="000000"/>
          <w:sz w:val="20"/>
          <w:u w:val="single"/>
        </w:rPr>
        <w:t>Trading Market</w:t>
      </w:r>
      <w:r>
        <w:rPr>
          <w:color w:val="000000"/>
        </w:rPr>
        <w:t xml:space="preserve">” </w:t>
      </w:r>
      <w:r>
        <w:rPr>
          <w:rFonts w:ascii="Times New Roman;serif" w:hAnsi="Times New Roman;serif"/>
          <w:b w:val="false"/>
          <w:color w:val="000000"/>
          <w:sz w:val="20"/>
        </w:rPr>
        <w:t>means NYSE or such other nationally recognized stock market on which the shares of Class A Common Stock are trading at the time of determination.</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(o)                “</w:t>
      </w:r>
      <w:r>
        <w:rPr>
          <w:rFonts w:ascii="Times New Roman;serif" w:hAnsi="Times New Roman;serif"/>
          <w:b w:val="false"/>
          <w:color w:val="000000"/>
          <w:sz w:val="20"/>
          <w:u w:val="single"/>
        </w:rPr>
        <w:t>VWAP</w:t>
      </w:r>
      <w:r>
        <w:rPr>
          <w:color w:val="000000"/>
        </w:rPr>
        <w:t xml:space="preserve">” </w:t>
      </w:r>
      <w:r>
        <w:rPr>
          <w:rFonts w:ascii="Times New Roman;serif" w:hAnsi="Times New Roman;serif"/>
          <w:b w:val="false"/>
          <w:color w:val="000000"/>
          <w:sz w:val="20"/>
        </w:rPr>
        <w:t>means, with respect any security, for each Trading Day, the daily volume weighted average price (based on such Trading Day) of such security on the Trading Market as reported by Bloomberg Financial L.P. using the AQR function.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Reservation of Stock</w:t>
      </w:r>
      <w:r>
        <w:rPr>
          <w:rFonts w:ascii="Times New Roman;serif" w:hAnsi="Times New Roman;serif"/>
          <w:b w:val="false"/>
          <w:color w:val="000000"/>
          <w:sz w:val="20"/>
        </w:rPr>
        <w:t>. The Corporation shall at all times reserve and keep available out of its authorized but unissued shares of Class A Common Stock an amount equal to the number of then-outstanding shares of Class B Common Stock, in each case,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Splits</w:t>
      </w:r>
      <w:r>
        <w:rPr>
          <w:rFonts w:ascii="Times New Roman;serif" w:hAnsi="Times New Roman;serif"/>
          <w:b w:val="false"/>
          <w:color w:val="000000"/>
          <w:sz w:val="20"/>
        </w:rPr>
        <w:t>. If the Corporation at any time combines or subdivides (by any stock split, stock dividend, recapitalization, reorganization, merger, amendment of this Certificate of Incorporation, scheme, arrangement or otherwise (each, a “</w:t>
      </w:r>
      <w:r>
        <w:rPr>
          <w:rFonts w:ascii="Times New Roman;serif" w:hAnsi="Times New Roman;serif"/>
          <w:b w:val="false"/>
          <w:color w:val="000000"/>
          <w:sz w:val="20"/>
          <w:u w:val="single"/>
        </w:rPr>
        <w:t>Split</w:t>
      </w:r>
      <w:r>
        <w:rPr>
          <w:color w:val="000000"/>
        </w:rPr>
        <w:t>”</w:t>
      </w:r>
      <w:r>
        <w:rPr>
          <w:rFonts w:ascii="Times New Roman;serif" w:hAnsi="Times New Roman;serif"/>
          <w:b w:val="false"/>
          <w:color w:val="000000"/>
          <w:sz w:val="20"/>
        </w:rPr>
        <w:t xml:space="preserve">)) any class of Common Stock into a greater or lesser number of shares, the shares of each other class of Common Stock outstanding immediately prior to such subdivision shall be proportionately similarly combined or subdivided such that the ratio of shares of outstanding Class B Common Stock, to shares of outstanding Class A Common Stock immediately prior to such subdivision shall be maintained immediately after such combination or subdivision. Any adjustment described in this </w:t>
      </w:r>
      <w:r>
        <w:rPr>
          <w:rFonts w:ascii="Times New Roman;serif" w:hAnsi="Times New Roman;serif"/>
          <w:b w:val="false"/>
          <w:color w:val="000000"/>
          <w:sz w:val="20"/>
          <w:u w:val="single"/>
        </w:rPr>
        <w:t>Section 4.3(F)</w:t>
      </w:r>
      <w:r>
        <w:rPr>
          <w:color w:val="000000"/>
        </w:rPr>
        <w:t xml:space="preserve"> </w:t>
      </w:r>
      <w:r>
        <w:rPr>
          <w:rFonts w:ascii="Times New Roman;serif" w:hAnsi="Times New Roman;serif"/>
          <w:b w:val="false"/>
          <w:color w:val="000000"/>
          <w:sz w:val="20"/>
        </w:rPr>
        <w:t>shall become effective at the close of business on the date the combination or subdivision becomes effective. In the event any Split of shares of Class A Common Stock or Class B Common Stock occurs prior to any Conversion Date, the per share amount used to calculate the amount of the Dividend Catch-Up Payment owed in respect of such shares of Class B Common Stock with respect to any dividend declared prior to such Split shall be ratably adjusted in a manner consistent with such Split such that, in the aggregate, the holders of such shares of Class B Common Stock would not receive a greater or lesser Dividend Catch-Up Payment than such holders would have received absent such Split. In the event of any exchange, conversion or other similar transaction with respect to the shares of Class A Common Stock (whether by recapitalization, reorganization, merger or otherwise), any shares of Class B Common Stock which are outstanding shall remain outstanding and be converted into a right receive the property or security into which the Class A Common Stock converted or was exchanged subject to the occurrence of a Conversion Event with respect to any such shares of Class B Common Stock (which Conversion Event and related definitions shall be equitably adjusted taking into account such event with respect to the Class A Common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5.1.          </w:t>
      </w:r>
      <w:r>
        <w:rPr>
          <w:rFonts w:ascii="Times New Roman;serif" w:hAnsi="Times New Roman;serif"/>
          <w:b w:val="false"/>
          <w:color w:val="000000"/>
          <w:sz w:val="20"/>
          <w:u w:val="single"/>
        </w:rPr>
        <w:t>By-Laws</w:t>
      </w:r>
      <w:r>
        <w:rPr>
          <w:rFonts w:ascii="Times New Roman;serif" w:hAnsi="Times New Roman;serif"/>
          <w:b w:val="false"/>
          <w:color w:val="000000"/>
          <w:sz w:val="20"/>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serif" w:hAnsi="Times New Roman;serif"/>
          <w:b w:val="false"/>
          <w:color w:val="000000"/>
          <w:sz w:val="20"/>
          <w:u w:val="single"/>
        </w:rPr>
        <w:t>By-Laws</w:t>
      </w:r>
      <w:r>
        <w:rPr>
          <w:color w:val="000000"/>
        </w:rPr>
        <w:t>”</w:t>
      </w:r>
      <w:r>
        <w:rPr>
          <w:rFonts w:ascii="Times New Roman;serif" w:hAnsi="Times New Roman;serif"/>
          <w:b w:val="false"/>
          <w:color w:val="000000"/>
          <w:sz w:val="20"/>
        </w:rPr>
        <w:t>)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in addition to any vote of the holders of any class or series of capital stock of the Corporation required herein (including any certificate of designations relating to any series of Preferred Stock), by the By-Laws or pursuant to applicable law, the affirmative vote of the holders of at least 66 2/3% of the total voting power of all the then outstanding shares of stock of the Corporation entitled to vote generally in the election of directors, voting together as a single class, shall be required in order for the stockholders of the Corporation to alter, amend, repeal or rescind, in whole or in part, any provision of Article I, Article II or Article IV of the By-Laws of the Corporation, or to adopt any provision inconsistent therewith and, with respect to any other provision of the By-Laws of the Corporation, the affirmative vote of the holders of at least a majority of the total voting power of all the then outstanding shares of stock of the Corporation entitled to vote generally in the election of directors, voting together as a single class, shall be required in order for the stockholders of the Corporation to alter, amend, repeal or rescind, in whole or in part, any such provision of the By-Laws of the Corporation, or to adopt any provision inconsistent therewith.</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6.1.          </w:t>
      </w:r>
      <w:r>
        <w:rPr>
          <w:rFonts w:ascii="Times New Roman;serif" w:hAnsi="Times New Roman;serif"/>
          <w:b w:val="false"/>
          <w:color w:val="000000"/>
          <w:sz w:val="20"/>
          <w:u w:val="single"/>
        </w:rPr>
        <w:t>Board of Directors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Powers</w:t>
      </w:r>
      <w:r>
        <w:rPr>
          <w:rFonts w:ascii="Times New Roman;serif" w:hAnsi="Times New Roman;serif"/>
          <w:b w:val="false"/>
          <w:color w:val="000000"/>
          <w:sz w:val="20"/>
        </w:rPr>
        <w:t>. Except as otherwise provided in this Certificate of Incorporation or the DGCL, the business and affairs of the Corporation shall be managed by or under the direction of the Board. Subject to that certain stockholders agreement, dated December 9, 2021 (as may be amended, restated, amended and restated, supplemented or otherwise modified from time to time, the “</w:t>
      </w:r>
      <w:r>
        <w:rPr>
          <w:rFonts w:ascii="Times New Roman;serif" w:hAnsi="Times New Roman;serif"/>
          <w:b w:val="false"/>
          <w:color w:val="000000"/>
          <w:sz w:val="20"/>
          <w:u w:val="single"/>
        </w:rPr>
        <w:t>Stockholders Agreement</w:t>
      </w:r>
      <w:r>
        <w:rPr>
          <w:color w:val="000000"/>
        </w:rPr>
        <w:t>”</w:t>
      </w:r>
      <w:r>
        <w:rPr>
          <w:rFonts w:ascii="Times New Roman;serif" w:hAnsi="Times New Roman;serif"/>
          <w:b w:val="false"/>
          <w:color w:val="000000"/>
          <w:sz w:val="20"/>
        </w:rPr>
        <w:t>), by and among the Corporation, the Investor Stockholders (as defined therein), and the other parties thereto, the total number of directors constituting the whole Board shall be determined from time to time by resolution adopted by the Board. Subject to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on which this Certificate of Incorporation is filed (such date,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xml:space="preserve">), Class II directors shall initially serve for a term expiring at the second annual meeting of stockholders following the Effective Date and Class III directors shall initially serve for a term expiring at the third annual meeting of stockholders following the Effective Date. At each annual meeting following the Effective Date, successors to the class of directors whose term expires at that annual meeting shall be elected for a term expiring at the third succeeding annual meeting of stockholders. If the number of such directors is changed,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The Board is authorized to assign members of the Board already in office to their respective class in accordance with the Stockholders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Vacancy</w:t>
      </w:r>
      <w:r>
        <w:rPr>
          <w:rFonts w:ascii="Times New Roman;serif" w:hAnsi="Times New Roman;serif"/>
          <w:b w:val="false"/>
          <w:color w:val="000000"/>
          <w:sz w:val="20"/>
        </w:rPr>
        <w:t>. Subject to the rights granted to the holders of any one or more series of Preferred Stock then outstanding and the rights granted pursuant to the Stockholders Agreement, any newly-created directorship on the Board that results from an increase in the number of directors and any vacancy occurring in the Board (whether by death, resignation, retirement, disqualification, removal or other cause) shall be filled by the affirmative vote of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Resignation</w:t>
      </w:r>
      <w:r>
        <w:rPr>
          <w:rFonts w:ascii="Times New Roman;serif" w:hAnsi="Times New Roman;serif"/>
          <w:b w:val="false"/>
          <w:color w:val="000000"/>
          <w:sz w:val="20"/>
        </w:rPr>
        <w:t xml:space="preserve">. Any director may resign at any time upon notice to the Corporation given in writing or by any electronic transmission permitted by the By-Laws. Subject to the terms of the Stockholders Agreement, any or all of the directors (other than the directors elected by the holders of any series of Preferred Stock of the Corporation, voting separately as a series or together with one or more other such series, as the case may be) may be removed only for cause and only upon the affirmative vote of the holders of at least 66 2/3% of the total voting power of all the then outstanding shares of stock of the Corporation entitled to vote generally in the election of directors, voting together as a single class. Subject to the terms and conditions of the Stockholders Agreement, in case the Board or any one or more directors should be so removed, new directors may be elected pursuant to </w:t>
      </w:r>
      <w:r>
        <w:rPr>
          <w:rFonts w:ascii="Times New Roman;serif" w:hAnsi="Times New Roman;serif"/>
          <w:b w:val="false"/>
          <w:color w:val="000000"/>
          <w:sz w:val="20"/>
          <w:u w:val="single"/>
        </w:rPr>
        <w:t>Section 6.1(B)</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Preferred Directors</w:t>
      </w:r>
      <w:r>
        <w:rPr>
          <w:rFonts w:ascii="Times New Roman;serif" w:hAnsi="Times New Roman;serif"/>
          <w:b w:val="false"/>
          <w:color w:val="000000"/>
          <w:sz w:val="20"/>
        </w:rPr>
        <w:t xml:space="preserv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w:t>
      </w:r>
      <w:r>
        <w:rPr>
          <w:rFonts w:ascii="Times New Roman;serif" w:hAnsi="Times New Roman;serif"/>
          <w:b w:val="false"/>
          <w:color w:val="000000"/>
          <w:sz w:val="20"/>
          <w:u w:val="single"/>
        </w:rPr>
        <w:t>Section 6.1(A)</w:t>
      </w:r>
      <w:r>
        <w:rPr>
          <w:rFonts w:ascii="Times New Roman;serif" w:hAnsi="Times New Roman;serif"/>
          <w:b w:val="false"/>
          <w:color w:val="000000"/>
          <w:sz w:val="20"/>
        </w:rPr>
        <w:t xml:space="preserve">, the number of directors that may be elected by the holders of any such series of Preferred Stock shall be in addition to the number fixed pursuant to </w:t>
      </w:r>
      <w:r>
        <w:rPr>
          <w:rFonts w:ascii="Times New Roman;serif" w:hAnsi="Times New Roman;serif"/>
          <w:b w:val="false"/>
          <w:color w:val="000000"/>
          <w:sz w:val="20"/>
          <w:u w:val="single"/>
        </w:rPr>
        <w:t>Section 6.1(A)</w:t>
      </w:r>
      <w:r>
        <w:rPr>
          <w:color w:val="000000"/>
        </w:rPr>
        <w:t xml:space="preserve"> </w:t>
      </w:r>
      <w:r>
        <w:rPr>
          <w:rFonts w:ascii="Times New Roman;serif" w:hAnsi="Times New Roman;serif"/>
          <w:b w:val="false"/>
          <w:color w:val="000000"/>
          <w:sz w:val="20"/>
        </w:rPr>
        <w:t>hereof, and the total number of directors constituting the whole Board shall be automatically adjusted accordingly.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Written Ballot</w:t>
      </w:r>
      <w:r>
        <w:rPr>
          <w:rFonts w:ascii="Times New Roman;serif" w:hAnsi="Times New Roman;serif"/>
          <w:b w:val="false"/>
          <w:color w:val="000000"/>
          <w:sz w:val="20"/>
        </w:rPr>
        <w:t>. Directors of the Corporation need not be elected by written ballot unless the By-Laws shall so provide.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7.1.          </w:t>
      </w:r>
      <w:r>
        <w:rPr>
          <w:rFonts w:ascii="Times New Roman;serif" w:hAnsi="Times New Roman;serif"/>
          <w:b w:val="false"/>
          <w:color w:val="000000"/>
          <w:sz w:val="20"/>
          <w:u w:val="single"/>
        </w:rPr>
        <w:t>Meetings of Stockholders</w:t>
      </w:r>
      <w:r>
        <w:rPr>
          <w:rFonts w:ascii="Times New Roman;serif" w:hAnsi="Times New Roman;serif"/>
          <w:b w:val="false"/>
          <w:color w:val="000000"/>
          <w:sz w:val="20"/>
        </w:rPr>
        <w:t xml:space="preserve">. Any action required or permitted to be taken by the holders of stock of the Corporation must be effected at a duly called annual or special meeting of such holders and may not be effected by any consent in writing by such holders unless such action is recommended or approved by all directors of the Corporation then in office;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action required or permitted to be taken, to the extent expressly permitted by the certificate of designations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in writing,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 Subject to the rights of the holders of any series of Preferred Stock, special meetings of the stockholders of the Corporation may be called only by or at the direction of the Board, the Chairman of the Board or the Chief Executive Officer of the Corporation or as otherwise provided in the By-Laws.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8.1.          </w:t>
      </w:r>
      <w:r>
        <w:rPr>
          <w:rFonts w:ascii="Times New Roman;serif" w:hAnsi="Times New Roman;serif"/>
          <w:b w:val="false"/>
          <w:color w:val="000000"/>
          <w:sz w:val="20"/>
          <w:u w:val="single"/>
        </w:rPr>
        <w:t>Limited Liability of Directors and Officers</w:t>
      </w:r>
      <w:r>
        <w:rPr>
          <w:rFonts w:ascii="Times New Roman;serif" w:hAnsi="Times New Roman;serif"/>
          <w:b w:val="false"/>
          <w:color w:val="000000"/>
          <w:sz w:val="20"/>
        </w:rPr>
        <w:t xml:space="preserve">. To the fullest extent permitted by law, no director or officer of the Corporation will have any personal liability to the Corporation or its stockholders for monetary damages for any breach of fiduciary duty as a director or officer (as applicable), except to the extent such an exemption from liability or limitation thereof is not permitted under the DGCL.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Neither the amendment nor the repeal of this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shall eliminate, reduce or otherwise adversely affect any limitation on the personal liability of a director or officer of the Corporation existing prior to such amendment or repeal.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8.2.          </w:t>
      </w:r>
      <w:r>
        <w:rPr>
          <w:rFonts w:ascii="Times New Roman;serif" w:hAnsi="Times New Roman;serif"/>
          <w:b w:val="false"/>
          <w:color w:val="000000"/>
          <w:sz w:val="20"/>
          <w:u w:val="single"/>
        </w:rPr>
        <w:t>Director and Officer Indemnification and Advancement of Expenses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Corporation, to the fullest extent permitted by law, shall indemnify and advance expenses to any Person made or threatened to be made a party to any action, suit or proceeding, whether criminal, civil, administrative or investigative, by reason of the fact that he or she is or was a director or officer of the Corporation or any predecessor of the Corporation, or, while serving as a director or officer of the Corporation, serves or served at any other enterprise as a director or officer at the request of the Corporation or any predecessor to the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8.3.          </w:t>
      </w:r>
      <w:r>
        <w:rPr>
          <w:rFonts w:ascii="Times New Roman;serif" w:hAnsi="Times New Roman;serif"/>
          <w:b w:val="false"/>
          <w:color w:val="000000"/>
          <w:sz w:val="20"/>
          <w:u w:val="single"/>
        </w:rPr>
        <w:t>Employee and Agent Indemnification and Advancement of Expenses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Corporation, to the fullest extent permitted by law, may indemnify and advance expenses to any Person made or threatened to be made a party to an action, suit or proceeding, whether criminal, civil, administrative or investigative, by reason of the fact that he or she is or was an employee or agent </w:t>
      </w:r>
      <w:r>
        <w:rPr>
          <w:rFonts w:ascii="Times New Roman;serif" w:hAnsi="Times New Roman;serif"/>
          <w:b w:val="false"/>
          <w:color w:val="000000"/>
          <w:sz w:val="20"/>
        </w:rPr>
        <w:t>of the Corporation or any predecessor of the Corporation, or serves or served at any other enterprise as an employee or agent at the request of the Corporation or any predecessor to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9.1.          </w:t>
      </w:r>
      <w:r>
        <w:rPr>
          <w:rFonts w:ascii="Times New Roman;serif" w:hAnsi="Times New Roman;serif"/>
          <w:b w:val="false"/>
          <w:color w:val="000000"/>
          <w:sz w:val="20"/>
          <w:u w:val="single"/>
        </w:rPr>
        <w:t>DGCL Section 203 and Business Combinations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Section 203</w:t>
      </w:r>
      <w:r>
        <w:rPr>
          <w:rFonts w:ascii="Times New Roman;serif" w:hAnsi="Times New Roman;serif"/>
          <w:b w:val="false"/>
          <w:color w:val="000000"/>
          <w:sz w:val="20"/>
        </w:rPr>
        <w:t>. The Corporation hereby expressly elects not to be governed by Section 203 of the DGCL.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Interested Stockholder</w:t>
      </w:r>
      <w:r>
        <w:rPr>
          <w:rFonts w:ascii="Times New Roman;serif" w:hAnsi="Times New Roman;serif"/>
          <w:b w:val="false"/>
          <w:color w:val="000000"/>
          <w:sz w:val="20"/>
        </w:rPr>
        <w:t>. 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with any interested stockholder (as defined below) for a period of three years following the time that such stockholder became an interested stockholder, unless: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(1)               prior to such time, the Board approved either the business combination or the transaction which resulted in the stockholder becoming an interested stockholder;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Definitions</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ARTICLE IX</w:t>
      </w:r>
      <w:r>
        <w:rPr>
          <w:rFonts w:ascii="Times New Roman;serif" w:hAnsi="Times New Roman;serif"/>
          <w:b w:val="false"/>
          <w:color w:val="000000"/>
          <w:sz w:val="20"/>
        </w:rPr>
        <w:t>, references to:</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means a person that directly, or indirectly through one or more intermediaries, controls, or is controlled by, or is under common control with, another person.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associate</w:t>
      </w:r>
      <w:r>
        <w:rPr>
          <w:color w:val="000000"/>
        </w:rPr>
        <w:t xml:space="preserve">” </w:t>
      </w:r>
      <w:r>
        <w:rPr>
          <w:rFonts w:ascii="Times New Roman;serif" w:hAnsi="Times New Roman;serif"/>
          <w:b w:val="false"/>
          <w:color w:val="000000"/>
          <w:sz w:val="20"/>
        </w:rPr>
        <w:t xml:space="preserve">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least a 20% beneficial interest or as to which such person serves as trustee or in a similar fiduciary capacity; and (c) any relative or spouse of such person, or any relative of such spouse, who has the same residence as such person.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business combination</w:t>
      </w:r>
      <w:r>
        <w:rPr>
          <w:color w:val="000000"/>
        </w:rPr>
        <w:t xml:space="preserve">” </w:t>
      </w:r>
      <w:r>
        <w:rPr>
          <w:rFonts w:ascii="Times New Roman;serif" w:hAnsi="Times New Roman;serif"/>
          <w:b w:val="false"/>
          <w:color w:val="000000"/>
          <w:sz w:val="20"/>
        </w:rPr>
        <w:t>when used in reference to the Corporation and any interested stockholder of the Corporation, means:</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 xml:space="preserve">(a)               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w:t>
      </w:r>
      <w:r>
        <w:rPr>
          <w:rFonts w:ascii="Times New Roman;serif" w:hAnsi="Times New Roman;serif"/>
          <w:b w:val="false"/>
          <w:color w:val="000000"/>
          <w:sz w:val="20"/>
          <w:u w:val="single"/>
        </w:rPr>
        <w:t>Section 9.1(B)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IX</w:t>
      </w:r>
      <w:r>
        <w:rPr>
          <w:color w:val="000000"/>
        </w:rPr>
        <w:t xml:space="preserve"> </w:t>
      </w:r>
      <w:r>
        <w:rPr>
          <w:rFonts w:ascii="Times New Roman;serif" w:hAnsi="Times New Roman;serif"/>
          <w:b w:val="false"/>
          <w:color w:val="000000"/>
          <w:sz w:val="20"/>
        </w:rPr>
        <w:t>is not applicable to the surviving entity;</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(b)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 xml:space="preserve">(c)               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(d)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(e)               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(4)               “</w:t>
      </w:r>
      <w:r>
        <w:rPr>
          <w:rFonts w:ascii="Times New Roman;serif" w:hAnsi="Times New Roman;serif"/>
          <w:b w:val="false"/>
          <w:color w:val="000000"/>
          <w:sz w:val="20"/>
          <w:u w:val="single"/>
        </w:rPr>
        <w:t>control</w:t>
      </w:r>
      <w:r>
        <w:rPr>
          <w:rFonts w:ascii="Times New Roman;serif" w:hAnsi="Times New Roman;serif"/>
          <w:b w:val="false"/>
          <w:color w:val="000000"/>
          <w:sz w:val="20"/>
        </w:rPr>
        <w:t>,” including the terms “</w:t>
      </w:r>
      <w:r>
        <w:rPr>
          <w:rFonts w:ascii="Times New Roman;serif" w:hAnsi="Times New Roman;serif"/>
          <w:b w:val="false"/>
          <w:color w:val="000000"/>
          <w:sz w:val="20"/>
          <w:u w:val="single"/>
        </w:rPr>
        <w:t>controlling</w:t>
      </w:r>
      <w:r>
        <w:rPr>
          <w:rFonts w:ascii="Times New Roman;serif" w:hAnsi="Times New Roman;serif"/>
          <w:b w:val="false"/>
          <w:color w:val="000000"/>
          <w:sz w:val="20"/>
        </w:rPr>
        <w:t>,” “</w:t>
      </w:r>
      <w:r>
        <w:rPr>
          <w:rFonts w:ascii="Times New Roman;serif" w:hAnsi="Times New Roman;serif"/>
          <w:b w:val="false"/>
          <w:color w:val="000000"/>
          <w:sz w:val="20"/>
          <w:u w:val="single"/>
        </w:rPr>
        <w:t>controlled by</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under common control with</w:t>
      </w:r>
      <w:r>
        <w:rPr>
          <w:rFonts w:ascii="Times New Roman;serif" w:hAnsi="Times New Roman;serif"/>
          <w:b w:val="false"/>
          <w:color w:val="000000"/>
          <w:sz w:val="20"/>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w:t>
      </w:r>
      <w:r>
        <w:rPr>
          <w:rFonts w:ascii="Times New Roman;serif" w:hAnsi="Times New Roman;serif"/>
          <w:b w:val="false"/>
          <w:color w:val="000000"/>
          <w:sz w:val="20"/>
          <w:u w:val="single"/>
        </w:rPr>
        <w:t>Section 9.1(B)</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u w:val="single"/>
        </w:rPr>
        <w:t>ARTICLE IX</w:t>
      </w:r>
      <w:r>
        <w:rPr>
          <w:rFonts w:ascii="Times New Roman;serif" w:hAnsi="Times New Roman;serif"/>
          <w:b w:val="false"/>
          <w:color w:val="000000"/>
          <w:sz w:val="20"/>
        </w:rPr>
        <w:t>, as an agent, bank, broker, nominee, custodian or trustee for one or more owners who do not individually or as a group have control of such entity.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(5)               “</w:t>
      </w:r>
      <w:r>
        <w:rPr>
          <w:rFonts w:ascii="Times New Roman;serif" w:hAnsi="Times New Roman;serif"/>
          <w:b w:val="false"/>
          <w:color w:val="000000"/>
          <w:sz w:val="20"/>
          <w:u w:val="single"/>
        </w:rPr>
        <w:t>interested stockholder</w:t>
      </w:r>
      <w:r>
        <w:rPr>
          <w:color w:val="000000"/>
        </w:rPr>
        <w:t xml:space="preserve">” </w:t>
      </w:r>
      <w:r>
        <w:rPr>
          <w:rFonts w:ascii="Times New Roman;serif" w:hAnsi="Times New Roman;serif"/>
          <w:b w:val="false"/>
          <w:color w:val="000000"/>
          <w:sz w:val="20"/>
        </w:rPr>
        <w:t xml:space="preserve">means any person (other than the Corporation or any direct or indirect majority-owned subsidiary of the Corporation) that (a) is the owner of 15% or more of the outstanding voting stock of the Corporation or (b) is an Affiliate or associate of the Corporation and was the owner of 15% or more of the outstanding voting stock of the Corporation at any time within the three year period immediately prior to the date on which it is sought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pPr>
      <w:r>
        <w:rPr>
          <w:rFonts w:ascii="Times New Roman;serif" w:hAnsi="Times New Roman;serif"/>
          <w:b w:val="false"/>
          <w:color w:val="000000"/>
          <w:sz w:val="20"/>
        </w:rPr>
        <w:t xml:space="preserve">to be determined whether such person is an interested stockholder; and the Affiliates and associates of such person; </w:t>
      </w:r>
      <w:r>
        <w:rPr>
          <w:rFonts w:ascii="Times New Roman;serif" w:hAnsi="Times New Roman;serif"/>
          <w:b w:val="false"/>
          <w:i/>
          <w:color w:val="000000"/>
          <w:sz w:val="20"/>
        </w:rPr>
        <w:t>provided, however</w:t>
      </w:r>
      <w:r>
        <w:rPr>
          <w:rFonts w:ascii="Times New Roman;serif" w:hAnsi="Times New Roman;serif"/>
          <w:b w:val="false"/>
          <w:color w:val="000000"/>
          <w:sz w:val="20"/>
        </w:rPr>
        <w:t>, that “</w:t>
      </w:r>
      <w:r>
        <w:rPr>
          <w:rFonts w:ascii="Times New Roman;serif" w:hAnsi="Times New Roman;serif"/>
          <w:b w:val="false"/>
          <w:color w:val="000000"/>
          <w:sz w:val="20"/>
          <w:u w:val="single"/>
        </w:rPr>
        <w:t>interested stockholder</w:t>
      </w:r>
      <w:r>
        <w:rPr>
          <w:color w:val="000000"/>
        </w:rPr>
        <w:t xml:space="preserve">” </w:t>
      </w:r>
      <w:r>
        <w:rPr>
          <w:rFonts w:ascii="Times New Roman;serif" w:hAnsi="Times New Roman;serif"/>
          <w:b w:val="false"/>
          <w:color w:val="000000"/>
          <w:sz w:val="20"/>
        </w:rPr>
        <w:t xml:space="preserve">shall not include (i) any Stockholder Party, any Stockholder Party Direct Transferee, any Stockholder Party Indirect Transferee or any of their respective Affiliates or any “group,” or any member of any such group, to which such persons are a party under Rule 13d-5 of the Exchange Act if a majority of the aggregate shares of voting stock of the Corporation owned by such group immediately prior to the business combination or the transaction which resulted in the stockholder becoming an interested stockholder were owned (without giving effect to beneficial ownership attributed to such person pursuant to Section 13(d)(3) of the Exchange Act or Rule 13d-5 of the Exchange Act) by one or more Stockholder Parties, Stockholder Party Direct Transferees, or Stockholder Party Indirect Transferees, or (ii) any person whose ownership of shares in excess of the 15% limitation set forth herein is the result of any action taken solely by the Corporation;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w:t>
      </w:r>
      <w:r>
        <w:rPr>
          <w:rFonts w:ascii="Times New Roman;serif" w:hAnsi="Times New Roman;serif"/>
          <w:b w:val="false"/>
          <w:color w:val="000000"/>
          <w:sz w:val="20"/>
          <w:u w:val="single"/>
        </w:rPr>
        <w:t>owner</w:t>
      </w:r>
      <w:r>
        <w:rPr>
          <w:color w:val="000000"/>
        </w:rPr>
        <w:t xml:space="preserve">” </w:t>
      </w:r>
      <w:r>
        <w:rPr>
          <w:rFonts w:ascii="Times New Roman;serif" w:hAnsi="Times New Roman;serif"/>
          <w:b w:val="false"/>
          <w:color w:val="000000"/>
          <w:sz w:val="20"/>
        </w:rPr>
        <w:t>below but shall not include any other unissued stock of the Corporation which may be issuable pursuant to any agreement, arrangement or understanding, or upon exercise of conversion rights, warrants or options, or otherwise.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(6)               “owner,” including the terms “</w:t>
      </w:r>
      <w:r>
        <w:rPr>
          <w:rFonts w:ascii="Times New Roman;serif" w:hAnsi="Times New Roman;serif"/>
          <w:b w:val="false"/>
          <w:color w:val="000000"/>
          <w:sz w:val="20"/>
          <w:u w:val="single"/>
        </w:rPr>
        <w:t>own</w:t>
      </w:r>
      <w:r>
        <w:rPr>
          <w:color w:val="000000"/>
        </w:rPr>
        <w:t xml:space="preserve">” </w:t>
      </w:r>
      <w:r>
        <w:rPr>
          <w:rFonts w:ascii="Times New Roman;serif" w:hAnsi="Times New Roman;serif"/>
          <w:b w:val="false"/>
          <w:color w:val="000000"/>
          <w:sz w:val="20"/>
        </w:rPr>
        <w:t>and “owned,” when used with respect to any stock, means a person that individually or with or through any of its Affiliates or associates:</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(a)               beneficially owns such stock, directly or indirectly;</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 xml:space="preserve">(b)               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serif" w:hAnsi="Times New Roman;serif"/>
          <w:b w:val="false"/>
          <w:i/>
          <w:color w:val="000000"/>
          <w:sz w:val="20"/>
        </w:rPr>
        <w:t>provided, however</w:t>
      </w:r>
      <w:r>
        <w:rPr>
          <w:rFonts w:ascii="Times New Roman;serif" w:hAnsi="Times New Roman;serif"/>
          <w:b w:val="false"/>
          <w:color w:val="000000"/>
          <w:sz w:val="20"/>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(c)               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(7)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corporation, partnership, unincorporated association or other entity.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(8)               “</w:t>
      </w:r>
      <w:r>
        <w:rPr>
          <w:rFonts w:ascii="Times New Roman;serif" w:hAnsi="Times New Roman;serif"/>
          <w:b w:val="false"/>
          <w:color w:val="000000"/>
          <w:sz w:val="20"/>
          <w:u w:val="single"/>
        </w:rPr>
        <w:t>stock</w:t>
      </w:r>
      <w:r>
        <w:rPr>
          <w:color w:val="000000"/>
        </w:rPr>
        <w:t xml:space="preserve">” </w:t>
      </w:r>
      <w:r>
        <w:rPr>
          <w:rFonts w:ascii="Times New Roman;serif" w:hAnsi="Times New Roman;serif"/>
          <w:b w:val="false"/>
          <w:color w:val="000000"/>
          <w:sz w:val="20"/>
        </w:rPr>
        <w:t>means, with respect to any corporation, capital stock and, with respect to any other entity, any equity interest.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(9)               “</w:t>
      </w:r>
      <w:r>
        <w:rPr>
          <w:rFonts w:ascii="Times New Roman;serif" w:hAnsi="Times New Roman;serif"/>
          <w:b w:val="false"/>
          <w:color w:val="000000"/>
          <w:sz w:val="20"/>
          <w:u w:val="single"/>
        </w:rPr>
        <w:t>Stockholder Parties</w:t>
      </w:r>
      <w:r>
        <w:rPr>
          <w:color w:val="000000"/>
        </w:rPr>
        <w:t xml:space="preserve">” </w:t>
      </w:r>
      <w:r>
        <w:rPr>
          <w:rFonts w:ascii="Times New Roman;serif" w:hAnsi="Times New Roman;serif"/>
          <w:b w:val="false"/>
          <w:color w:val="000000"/>
          <w:sz w:val="20"/>
        </w:rPr>
        <w:t>means the Investor Stockholders (as defined in the Stockholders Agreement). The term “</w:t>
      </w:r>
      <w:r>
        <w:rPr>
          <w:rFonts w:ascii="Times New Roman;serif" w:hAnsi="Times New Roman;serif"/>
          <w:b w:val="false"/>
          <w:color w:val="000000"/>
          <w:sz w:val="20"/>
          <w:u w:val="single"/>
        </w:rPr>
        <w:t>Stockholder Party</w:t>
      </w:r>
      <w:r>
        <w:rPr>
          <w:color w:val="000000"/>
        </w:rPr>
        <w:t xml:space="preserve">” </w:t>
      </w:r>
      <w:r>
        <w:rPr>
          <w:rFonts w:ascii="Times New Roman;serif" w:hAnsi="Times New Roman;serif"/>
          <w:b w:val="false"/>
          <w:color w:val="000000"/>
          <w:sz w:val="20"/>
        </w:rPr>
        <w:t>shall have a correlative meaning to “</w:t>
      </w:r>
      <w:r>
        <w:rPr>
          <w:rFonts w:ascii="Times New Roman;serif" w:hAnsi="Times New Roman;serif"/>
          <w:b w:val="false"/>
          <w:color w:val="000000"/>
          <w:sz w:val="20"/>
          <w:u w:val="single"/>
        </w:rPr>
        <w:t>Stockholder Parties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(10)             “</w:t>
      </w:r>
      <w:r>
        <w:rPr>
          <w:rFonts w:ascii="Times New Roman;serif" w:hAnsi="Times New Roman;serif"/>
          <w:b w:val="false"/>
          <w:color w:val="000000"/>
          <w:sz w:val="20"/>
          <w:u w:val="single"/>
        </w:rPr>
        <w:t>Stockholder Party Direct Transferee</w:t>
      </w:r>
      <w:r>
        <w:rPr>
          <w:color w:val="000000"/>
        </w:rPr>
        <w:t xml:space="preserve">” </w:t>
      </w:r>
      <w:r>
        <w:rPr>
          <w:rFonts w:ascii="Times New Roman;serif" w:hAnsi="Times New Roman;serif"/>
          <w:b w:val="false"/>
          <w:color w:val="000000"/>
          <w:sz w:val="20"/>
        </w:rPr>
        <w:t>means any Permitted Transferees (as defined in the Stockholders Agreement) of a Stockholder Party or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 outstanding voting stock of the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(11)           “</w:t>
      </w:r>
      <w:r>
        <w:rPr>
          <w:rFonts w:ascii="Times New Roman;serif" w:hAnsi="Times New Roman;serif"/>
          <w:b w:val="false"/>
          <w:color w:val="000000"/>
          <w:sz w:val="20"/>
          <w:u w:val="single"/>
        </w:rPr>
        <w:t>Stockholder Party Indirect Transferee</w:t>
      </w:r>
      <w:r>
        <w:rPr>
          <w:color w:val="000000"/>
        </w:rPr>
        <w:t xml:space="preserve">” </w:t>
      </w:r>
      <w:r>
        <w:rPr>
          <w:rFonts w:ascii="Times New Roman;serif" w:hAnsi="Times New Roman;serif"/>
          <w:b w:val="false"/>
          <w:color w:val="000000"/>
          <w:sz w:val="20"/>
        </w:rPr>
        <w:t>means any person that acquires (other than in a registered public offering) directly from any Stockholder Party Direct Transferee or any other Stockholder Party Indirect Transferee, beneficial ownership of 15% or more of the then outstanding voting stock of the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(12)           “</w:t>
      </w:r>
      <w:r>
        <w:rPr>
          <w:rFonts w:ascii="Times New Roman;serif" w:hAnsi="Times New Roman;serif"/>
          <w:b w:val="false"/>
          <w:color w:val="000000"/>
          <w:sz w:val="20"/>
          <w:u w:val="single"/>
        </w:rPr>
        <w:t>voting stock</w:t>
      </w:r>
      <w:r>
        <w:rPr>
          <w:color w:val="000000"/>
        </w:rPr>
        <w:t xml:space="preserve">” </w:t>
      </w:r>
      <w:r>
        <w:rPr>
          <w:rFonts w:ascii="Times New Roman;serif" w:hAnsi="Times New Roman;serif"/>
          <w:b w:val="false"/>
          <w:color w:val="000000"/>
          <w:sz w:val="20"/>
        </w:rPr>
        <w:t xml:space="preserve">means stock of any class or series entitled to vote generally in the election of directors and, with respect to any entity that is not a corporation, any equity interest entitled to vote generally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election of the governing body of such entity. Every reference to a percentage of voting stock shall refer to such percentages of the votes of such voting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10.1.        </w:t>
      </w:r>
      <w:r>
        <w:rPr>
          <w:rFonts w:ascii="Times New Roman;serif" w:hAnsi="Times New Roman;serif"/>
          <w:b w:val="false"/>
          <w:color w:val="000000"/>
          <w:sz w:val="20"/>
          <w:u w:val="single"/>
        </w:rPr>
        <w:t>Competition and Corporate Opportunities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In recognition and anticipation that members of the Board who are not employees of the Corporation (“</w:t>
      </w:r>
      <w:r>
        <w:rPr>
          <w:rFonts w:ascii="Times New Roman;serif" w:hAnsi="Times New Roman;serif"/>
          <w:b w:val="false"/>
          <w:color w:val="000000"/>
          <w:sz w:val="20"/>
          <w:u w:val="single"/>
        </w:rPr>
        <w:t>Non-Employee Directors</w:t>
      </w:r>
      <w:r>
        <w:rPr>
          <w:color w:val="000000"/>
        </w:rPr>
        <w:t>”</w:t>
      </w:r>
      <w:r>
        <w:rPr>
          <w:rFonts w:ascii="Times New Roman;serif" w:hAnsi="Times New Roman;serif"/>
          <w:b w:val="false"/>
          <w:color w:val="000000"/>
          <w:sz w:val="20"/>
        </w:rPr>
        <w:t xml:space="preserve">) and their respective Affiliates (as defined below) and Affiliated Entities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Business Opportunity</w:t>
      </w:r>
      <w:r>
        <w:rPr>
          <w:rFonts w:ascii="Times New Roman;serif" w:hAnsi="Times New Roman;serif"/>
          <w:b w:val="false"/>
          <w:color w:val="000000"/>
          <w:sz w:val="20"/>
        </w:rPr>
        <w:t>. No Non-Employee Director or his or her Affiliates or Affiliated Entities (the Persons (as defined below) above being referred to, collectively, as “</w:t>
      </w:r>
      <w:r>
        <w:rPr>
          <w:rFonts w:ascii="Times New Roman;serif" w:hAnsi="Times New Roman;serif"/>
          <w:b w:val="false"/>
          <w:color w:val="000000"/>
          <w:sz w:val="20"/>
          <w:u w:val="single"/>
        </w:rPr>
        <w:t>Identified Persons</w:t>
      </w:r>
      <w:r>
        <w:rPr>
          <w:color w:val="000000"/>
        </w:rPr>
        <w:t xml:space="preserve">” </w:t>
      </w:r>
      <w:r>
        <w:rPr>
          <w:rFonts w:ascii="Times New Roman;serif" w:hAnsi="Times New Roman;serif"/>
          <w:b w:val="false"/>
          <w:color w:val="000000"/>
          <w:sz w:val="20"/>
        </w:rPr>
        <w:t>and, individually, as an “</w:t>
      </w:r>
      <w:r>
        <w:rPr>
          <w:rFonts w:ascii="Times New Roman;serif" w:hAnsi="Times New Roman;serif"/>
          <w:b w:val="false"/>
          <w:color w:val="000000"/>
          <w:sz w:val="20"/>
          <w:u w:val="single"/>
        </w:rPr>
        <w:t>Identified Person</w:t>
      </w:r>
      <w:r>
        <w:rPr>
          <w:color w:val="000000"/>
        </w:rPr>
        <w:t>”</w:t>
      </w:r>
      <w:r>
        <w:rPr>
          <w:rFonts w:ascii="Times New Roman;serif" w:hAnsi="Times New Roman;serif"/>
          <w:b w:val="false"/>
          <w:color w:val="000000"/>
          <w:sz w:val="20"/>
        </w:rPr>
        <w:t xml:space="preserve">) shall, to the fullest extent permitted by applicable law, have any duty to refrain from directly or indirectly (1) engaging in the same or similar business activities or lines of business in which the Corporation or any of its Affiliates, has historically engaged, now engages or proposes to engage at any time or (2) otherwise competing with the Corporation or any of its Affiliates, and, to the fullest extent permitted by applicable law, no Identified Person shall be liable to the Corporation or its stockholders or to any Affiliate of the Corporation for breach of any fiduciary duty solely by reason of the fact that such Identified Person engages in any such activities. To the fullest extent permitted by applicable law, the Corporation hereby renounces any interest or expectancy in, or right to be offered an opportunity to participate in, any business opportunity which may be a corporate opportunity for an Identified Person and the Corporation or any of its Affiliates, except as provided in </w:t>
      </w:r>
      <w:r>
        <w:rPr>
          <w:rFonts w:ascii="Times New Roman;serif" w:hAnsi="Times New Roman;serif"/>
          <w:b w:val="false"/>
          <w:color w:val="000000"/>
          <w:sz w:val="20"/>
          <w:u w:val="single"/>
        </w:rPr>
        <w:t>Section 10.1(C)</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Subject to </w:t>
      </w:r>
      <w:r>
        <w:rPr>
          <w:rFonts w:ascii="Times New Roman;serif" w:hAnsi="Times New Roman;serif"/>
          <w:b w:val="false"/>
          <w:color w:val="000000"/>
          <w:sz w:val="20"/>
          <w:u w:val="single"/>
        </w:rPr>
        <w:t>Section 10.1(C)</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applicable law, have no duty to communicate or offer such transaction or other business opportunity to the Corporation or any of its Affiliates and, to the fullest extent permitted by applicable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Corporate Business Opportunity</w:t>
      </w:r>
      <w:r>
        <w:rPr>
          <w:rFonts w:ascii="Times New Roman;serif" w:hAnsi="Times New Roman;serif"/>
          <w:b w:val="false"/>
          <w:color w:val="000000"/>
          <w:sz w:val="20"/>
        </w:rPr>
        <w:t xml:space="preserve">. The Corporation does not renounce its interest in any corporate opportunity offered to any Non-Employee Director if such opportunity is expressly offered or presented to, or acquired or developed by, such person solely in his or her capacity as a director or officer of the Corporation, and the provisions of </w:t>
      </w:r>
      <w:r>
        <w:rPr>
          <w:rFonts w:ascii="Times New Roman;serif" w:hAnsi="Times New Roman;serif"/>
          <w:b w:val="false"/>
          <w:color w:val="000000"/>
          <w:sz w:val="20"/>
          <w:u w:val="single"/>
        </w:rPr>
        <w:t>Section 10.1(B)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shall not apply to any such corporate opportunity.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Exceptions to Business Opportunity</w:t>
      </w:r>
      <w:r>
        <w:rPr>
          <w:rFonts w:ascii="Times New Roman;serif" w:hAnsi="Times New Roman;serif"/>
          <w:b w:val="false"/>
          <w:color w:val="000000"/>
          <w:sz w:val="20"/>
        </w:rPr>
        <w:t xml:space="preserve">. In addition to and notwithstanding the foregoing provisions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a corporate opportunity shall not be deemed to be a potential corporate opportunity for the Corporation if it is a business opportunity that (1) the Corporation is neither financially or legally able, nor contractually permitted to undertake, (2) from its nature, is not in the line of the Corporation’s business or is of no practical advantage to the Corporation, (3) is one in which the Corporation has no interest or reasonable expectancy, or (4) is one presented to any Person for the benefit of a member of the Board or such member’s Affiliate over which such member of the Board has no direct or indirect influence or control, including, but not limited to, a blind trust.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Definitions</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references to:</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means (a) in respect of a member of the Board, any Person that, directly or indirectly, is controlled by such member of the Board (other than the Corporation and any entity that is controlled by the Corporation) and (b) in respect of the Corporation, any Person that, directly or indirectly, is controlled by the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Affiliated Entity</w:t>
      </w:r>
      <w:r>
        <w:rPr>
          <w:color w:val="000000"/>
        </w:rPr>
        <w:t xml:space="preserve">” </w:t>
      </w:r>
      <w:r>
        <w:rPr>
          <w:rFonts w:ascii="Times New Roman;serif" w:hAnsi="Times New Roman;serif"/>
          <w:b w:val="false"/>
          <w:color w:val="000000"/>
          <w:sz w:val="20"/>
        </w:rPr>
        <w:t xml:space="preserve">means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person controlling, controlled by or under common control with any of the foregoing, including any investment fund or vehicle under common management;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corporation, general or limited partnership, limited liability company, joint venture, trust, association or any other entity.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Notice and Consent</w:t>
      </w:r>
      <w:r>
        <w:rPr>
          <w:rFonts w:ascii="Times New Roman;serif" w:hAnsi="Times New Roman;serif"/>
          <w:b w:val="false"/>
          <w:color w:val="000000"/>
          <w:sz w:val="20"/>
        </w:rPr>
        <w:t xml:space="preserve">. To the fullest extent permitted by applicable law, any Person purchasing or otherwise acquiring any interest in any shares of capital stock of the Corporation shall be deemed to have notice of and to have consented to the provisions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Amendment</w:t>
      </w:r>
      <w:r>
        <w:rPr>
          <w:rFonts w:ascii="Times New Roman;serif" w:hAnsi="Times New Roman;serif"/>
          <w:b w:val="false"/>
          <w:color w:val="000000"/>
          <w:sz w:val="20"/>
        </w:rPr>
        <w:t xml:space="preserve">. Any alteration, amendment, addition to or repeal 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 xml:space="preserve">shall require the affirmative vote of at least 80% of the total voting power of all the then outstanding shares of stock of the Corporation entitled to vote generally in the election of directors, voting together as a single class. Neither the alteration, amendment, addition to or repeal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nor the adoption of any provision of this Certificate of Incorporation (including any certificate of designations relating to any series of Preferred Stock) inconsistent with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shall eliminate or reduce the effect 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 xml:space="preserve">in respect of any business opportunity first identified or any other matter occurring, or any cause of action, suit or claim that, but for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would accrue or arise, prior to such alteration, amendment, addition, repeal or adoption.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shall not limit any protections or defenses available to, or indemnification or advancement rights of, any director or officer of the Corporation under this Certificate of Incorporation, the By-Laws, the Stockholders Agreement, any indemnification agreement between such Person and the Corporation or any of its subsidiaries or applicable law.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11.1.        </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provision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12.1.        </w:t>
      </w:r>
      <w:r>
        <w:rPr>
          <w:rFonts w:ascii="Times New Roman;serif" w:hAnsi="Times New Roman;serif"/>
          <w:b w:val="false"/>
          <w:color w:val="000000"/>
          <w:sz w:val="20"/>
          <w:u w:val="single"/>
        </w:rPr>
        <w:t>Forum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Unless the Corporation consents in writing to the selection of an alternative forum, the Court of Chancery of the State of Delaware shall be the sole and exclusive forum for: (1) any derivative action or proceeding brought on behalf of the Corporation; (2) any action asserting a claim of breach of a fiduciary duty owed by, or other wrongdoing by, any current or former director, officer, other employee or stockholder of the Corporation to the Corporation or the Corporation’s stockholders, creditors or other constituents, or a claim of aiding and abetting any such breach of fiduciary duty; (3) any action or proceeding against the Company or any current or former director, officer or other employee of the Company or any stockholder (a) arising pursuant to any provision of the DGCL, this Certificate of Incorporation or the By-Laws (as each may be amended, restated, modified, supplemented or waived from time to time) or (b) as to which the DGCL confers jurisdiction on the Court of Chancery of the State of Delaware; (4) any action or proceeding to interpret, apply, enforce or determine the validity of the Certificate of Incorporation or the By-Laws (including any right, obligation or remedy thereunder); (5) any action asserting a claim against the Corporation or any director, officer or other employee of the Corporation or any stockholder, governed by the internal affairs doctrine; and (6) any action asserting an “internal corporate claim” as that term is defined in Section 115 of the DGCL.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the Corporation or any director or officer of the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              Any person or entity purchasing or otherwise acquiring or holding any interest in any security of the Corporation shall be deemed to have notice of and to have consented to the provisions of this </w:t>
      </w:r>
      <w:r>
        <w:rPr>
          <w:rFonts w:ascii="Times New Roman;serif" w:hAnsi="Times New Roman;serif"/>
          <w:b w:val="false"/>
          <w:color w:val="000000"/>
          <w:sz w:val="20"/>
          <w:u w:val="single"/>
        </w:rPr>
        <w:t>ARTICLE XII</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XIII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13.1.         </w:t>
      </w:r>
      <w:r>
        <w:rPr>
          <w:rFonts w:ascii="Times New Roman;serif" w:hAnsi="Times New Roman;serif"/>
          <w:b w:val="false"/>
          <w:color w:val="000000"/>
          <w:sz w:val="20"/>
          <w:u w:val="single"/>
        </w:rPr>
        <w:t>Amendments</w:t>
      </w:r>
      <w:r>
        <w:rPr>
          <w:rFonts w:ascii="Times New Roman;serif" w:hAnsi="Times New Roman;serif"/>
          <w:b w:val="false"/>
          <w:color w:val="000000"/>
          <w:sz w:val="20"/>
        </w:rPr>
        <w:t xml:space="preserve">.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XII; and this Article XIII. Further, any alteration, amendment, addition to or repeal of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shall require the affirmative vote of at least 80% of the total voting power of all the then outstanding shares of stock of the Corporation entitled to vote generally in the election of directors, voting together as a single class. Except as expressly provided in the foregoing sentences and the remainder of this Certificate of Incorporation (including any certificate of designations relating to any series of Preferred Stock), this Certificate of Incorporation may be amended by the affirmative vote of the holders of at least a majority of the total voting power of all the then outstanding shares of stock of the Corporation entitled to vote generally in the election of directors, voting together as a single class.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amended and restated certificate of incorporation to be signed by a duly authorized officer of the Corporation as of [●], 2026.</w:t>
      </w:r>
    </w:p>
    <w:tbl>
      <w:tblPr>
        <w:tblW w:w="3567" w:type="dxa"/>
        <w:jc w:val="left"/>
        <w:tblInd w:w="0" w:type="dxa"/>
        <w:tblLayout w:type="fixed"/>
        <w:tblCellMar>
          <w:top w:w="28" w:type="dxa"/>
          <w:left w:w="28" w:type="dxa"/>
          <w:bottom w:w="28" w:type="dxa"/>
          <w:right w:w="28" w:type="dxa"/>
        </w:tblCellMar>
      </w:tblPr>
      <w:tblGrid>
        <w:gridCol w:w="124"/>
        <w:gridCol w:w="109"/>
        <w:gridCol w:w="109"/>
        <w:gridCol w:w="943"/>
        <w:gridCol w:w="943"/>
        <w:gridCol w:w="1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GETTY IMAGES HOLDINGS, INC.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8"/>
        <w:gridCol w:w="208"/>
        <w:gridCol w:w="213"/>
        <w:gridCol w:w="1570"/>
        <w:gridCol w:w="1570"/>
        <w:gridCol w:w="2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Kjelti Kellough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Kjelti Kellough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FF"/>
          <w:sz w:val="20"/>
        </w:rPr>
        <w:t>[1]</w:t>
      </w:r>
      <w:r>
        <w:rPr>
          <w:color w:val="000000"/>
        </w:rPr>
        <w:t xml:space="preserve"> </w:t>
      </w:r>
      <w:r>
        <w:rPr>
          <w:rFonts w:ascii="Times New Roman;serif" w:hAnsi="Times New Roman;serif"/>
          <w:b w:val="false"/>
          <w:color w:val="000000"/>
          <w:sz w:val="20"/>
        </w:rPr>
        <w:t>To reflect the final ratio determined by the Board of Directors within the range approved by the Company’s stockholders.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B: First Amendment to 2022 Equity Incentive Plan</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FIRST AMENDMENT TO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GETTY IMAGES HOLDINGS, INC. 2022 EQUITY INCENTIVE PLAN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THIS FIRST AMENDMENT</w:t>
      </w:r>
      <w:r>
        <w:rPr>
          <w:color w:val="000000"/>
        </w:rPr>
        <w:t xml:space="preserve"> </w:t>
      </w:r>
      <w:r>
        <w:rPr>
          <w:rFonts w:ascii="Times New Roman;serif" w:hAnsi="Times New Roman;serif"/>
          <w:b w:val="false"/>
          <w:color w:val="000000"/>
          <w:sz w:val="20"/>
        </w:rPr>
        <w:t>(this “Amendment”) to the Getty Images Holdings, Inc. 2022 Equity Incentive Plan (the “Plan”) is made as of August 12, 2026, subject to approval by the Company’s stockholders at the 2026 Annual Meeting of Stockholders. Any capitalized term that is used but not defined herein shall have the meaning ascribed to such term in the Plan.</w:t>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pursuant to Section 15.2 of the Plan, the Board, may from time to time amend the Plan, provided that no such action shall materially and adversely affect any Award theretofore granted without the consent of the Participant or the permitted transferee of the Award; and</w:t>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the Board, has determined to amend the Plan in the manner set forth below, subject to approval by the stockholders.</w:t>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NOW, THEREFORE</w:t>
      </w:r>
      <w:r>
        <w:rPr>
          <w:rFonts w:ascii="Times New Roman;serif" w:hAnsi="Times New Roman;serif"/>
          <w:b w:val="false"/>
          <w:color w:val="000000"/>
          <w:sz w:val="20"/>
        </w:rPr>
        <w:t>, the Plan is hereby amended as follows, subject to approval by the Company’s stockholders: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1. The first sentence of Section 4.1 of the Plan is hereby amended and restated in its entirety as follows: “Subject to adjustment as provided in Section 4.2 and Section 4.4 hereof, the total number of shares of Common Stock that are available for issuance under the Plan (the “Share Reserve”) shall equal 93,206,425.”</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Section 2. This Amendment shall be governed by and construed in accordance with the laws of the State of Delaware, without regard to any borrowing statute that would result in the application of the statute of limitations or repose of any other jurisdiction. </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3. Except as amended above, the Plan shall remain in full force and effect.</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C: First Amendment to 2022 Employee Stock Purchase Plan</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AMENDMENT TO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GETTY IMAGES HOLDINGS, INC. 2022 EMPLOYEE STOCK PURCHASE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THIS FIRST AMENDMENT</w:t>
      </w:r>
      <w:r>
        <w:rPr>
          <w:color w:val="000000"/>
        </w:rPr>
        <w:t xml:space="preserve"> </w:t>
      </w:r>
      <w:r>
        <w:rPr>
          <w:rFonts w:ascii="Times New Roman;serif" w:hAnsi="Times New Roman;serif"/>
          <w:b w:val="false"/>
          <w:color w:val="000000"/>
          <w:sz w:val="20"/>
        </w:rPr>
        <w:t>(this “Amendment”) to the Getty Images Holdings, Inc. 2022 Employee Stock Purchase Plan (the “Plan”) is made as of August 12, 2026, subject to approval by the Company’s stockholders at the 2026 Annual Meeting of Stockholders. Any capitalized term that is used but not defined herein shall have the meaning ascribed to such term in the Plan.</w:t>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pursuant to Section 12(a) of the Plan, the Board may amend the Plan at any time in any respect the Board deems necessary or advisable, provided that stockholder approval will be required for any amendment of the Plan for which stockholder approval is required by applicable laws, regulations or listing requirements, including any amendment that increases the number of shares of Common Stock available for issuance under the Plan; and</w:t>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the Board, has determined to amend the Plan in the manner set forth below, subject to approval by the stockholders.</w:t>
      </w:r>
    </w:p>
    <w:p>
      <w:pPr>
        <w:pStyle w:val="TextBody"/>
        <w:bidi w:val="0"/>
        <w:spacing w:before="0" w:after="0"/>
        <w:jc w:val="left"/>
        <w:rPr/>
      </w:pPr>
      <w:r>
        <w:rPr/>
      </w:r>
    </w:p>
    <w:p>
      <w:pPr>
        <w:pStyle w:val="TextBody"/>
        <w:bidi w:val="0"/>
        <w:spacing w:lineRule="auto" w:line="288" w:before="0" w:after="0"/>
        <w:ind w:left="0" w:right="0" w:firstLine="400"/>
        <w:jc w:val="both"/>
        <w:rPr/>
      </w:pPr>
      <w:r>
        <w:rPr>
          <w:rFonts w:ascii="Times New Roman;serif" w:hAnsi="Times New Roman;serif"/>
          <w:b/>
          <w:color w:val="000000"/>
          <w:sz w:val="20"/>
        </w:rPr>
        <w:t>NOW, THEREFORE</w:t>
      </w:r>
      <w:r>
        <w:rPr>
          <w:rFonts w:ascii="Times New Roman;serif" w:hAnsi="Times New Roman;serif"/>
          <w:b w:val="false"/>
          <w:color w:val="000000"/>
          <w:sz w:val="20"/>
        </w:rPr>
        <w:t>, the Plan is hereby amended as follows, subject to approval by the Company’s stockholders:</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Section 1. The first sentence of Section 3(a) of the Plan is hereby amended and restated in its entirety as follows: “Subject to the provisions of Section 11(a) relating to Capitalization Adjustments and Section 3(b), the maximum number of shares of Common Stock that may be issued under the Plan (the “Share Reserve”) will not exceed 9,210,185 shares of Common Stock.”</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2. This Amendment shall be governed by and construed in accordance with the laws of the State of Delaware.</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3. Except as amended above, the Plan shall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8124825"/>
            <wp:effectExtent l="0" t="0" r="0" b="0"/>
            <wp:docPr id="9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 descr=""/>
                    <pic:cNvPicPr>
                      <a:picLocks noChangeAspect="1" noChangeArrowheads="1"/>
                    </pic:cNvPicPr>
                  </pic:nvPicPr>
                  <pic:blipFill>
                    <a:blip r:embed="rId8"/>
                    <a:stretch>
                      <a:fillRect/>
                    </a:stretch>
                  </pic:blipFill>
                  <pic:spPr bwMode="auto">
                    <a:xfrm>
                      <a:off x="0" y="0"/>
                      <a:ext cx="6286500" cy="8124825"/>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jc w:val="center"/>
        <w:rPr/>
      </w:pPr>
      <w:r>
        <w:rPr/>
        <w:drawing>
          <wp:inline distT="0" distB="0" distL="0" distR="0">
            <wp:extent cx="6286500" cy="8124825"/>
            <wp:effectExtent l="0" t="0" r="0" b="0"/>
            <wp:docPr id="9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 descr=""/>
                    <pic:cNvPicPr>
                      <a:picLocks noChangeAspect="1" noChangeArrowheads="1"/>
                    </pic:cNvPicPr>
                  </pic:nvPicPr>
                  <pic:blipFill>
                    <a:blip r:embed="rId9"/>
                    <a:stretch>
                      <a:fillRect/>
                    </a:stretch>
                  </pic:blipFill>
                  <pic:spPr bwMode="auto">
                    <a:xfrm>
                      <a:off x="0" y="0"/>
                      <a:ext cx="6286500" cy="8124825"/>
                    </a:xfrm>
                    <a:prstGeom prst="rect">
                      <a:avLst/>
                    </a:prstGeom>
                  </pic:spPr>
                </pic:pic>
              </a:graphicData>
            </a:graphic>
          </wp:inline>
        </w:drawing>
      </w:r>
      <w:bookmarkStart w:id="7" w:name="i-8"/>
      <w:bookmarkEnd w:id="7"/>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53131</Words>
  <Characters>280147</Characters>
  <CharactersWithSpaces>333131</CharactersWithSpaces>
  <Paragraphs>2073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