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333-266686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Prospectus Supplement No. 1 (to Prospectus dated March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2453005</wp:posOffset>
            </wp:positionH>
            <wp:positionV relativeFrom="paragraph">
              <wp:posOffset>156845</wp:posOffset>
            </wp:positionV>
            <wp:extent cx="214312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231F20"/>
        </w:rPr>
        <w:t>Getty Images Holdings, Inc.</w:t>
      </w:r>
    </w:p>
    <w:p>
      <w:pPr>
        <w:spacing w:after="0" w:line="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231F20"/>
        </w:rPr>
        <w:t>397,045,769 shares of Class A Common Stock</w:t>
      </w:r>
    </w:p>
    <w:p>
      <w:pPr>
        <w:spacing w:after="0" w:line="283" w:lineRule="exact"/>
        <w:rPr>
          <w:sz w:val="24"/>
          <w:szCs w:val="24"/>
          <w:color w:val="auto"/>
        </w:rPr>
      </w:pPr>
    </w:p>
    <w:p>
      <w:pPr>
        <w:ind w:right="300" w:firstLine="359"/>
        <w:spacing w:after="0" w:line="258" w:lineRule="auto"/>
        <w:rPr>
          <w:sz w:val="20"/>
          <w:szCs w:val="20"/>
          <w:color w:val="auto"/>
        </w:rPr>
      </w:pPr>
      <w:r>
        <w:rPr>
          <w:rFonts w:ascii="Times New Roman" w:cs="Times New Roman" w:eastAsia="Times New Roman" w:hAnsi="Times New Roman"/>
          <w:sz w:val="18"/>
          <w:szCs w:val="18"/>
          <w:color w:val="231F20"/>
        </w:rPr>
        <w:t>This prospectus supplement (“Prospectus Supplement No. 1”) updates and supplements the prospectus dated March 17, 2023 (the “Prospectus”), which forms a part of our registration statement on Form S-1 (No. 333-266686). This Prospectus Supplement No. 1 is being filed to update and supplement the information in the Prospectus with the information contained in our Current Report on Form 8-K filed with the Securities and Exchange Commission on May 10, 2023 (the “Current Report”). Accordingly, we have attached the Current Report to this Prospectus Supplement No. 1.</w:t>
      </w:r>
    </w:p>
    <w:p>
      <w:pPr>
        <w:spacing w:after="0" w:line="183" w:lineRule="exact"/>
        <w:rPr>
          <w:sz w:val="24"/>
          <w:szCs w:val="24"/>
          <w:color w:val="auto"/>
        </w:rPr>
      </w:pPr>
    </w:p>
    <w:p>
      <w:pPr>
        <w:ind w:right="220" w:firstLine="359"/>
        <w:spacing w:after="0" w:line="251" w:lineRule="auto"/>
        <w:rPr>
          <w:sz w:val="20"/>
          <w:szCs w:val="20"/>
          <w:color w:val="auto"/>
        </w:rPr>
      </w:pPr>
      <w:r>
        <w:rPr>
          <w:rFonts w:ascii="Times New Roman" w:cs="Times New Roman" w:eastAsia="Times New Roman" w:hAnsi="Times New Roman"/>
          <w:sz w:val="18"/>
          <w:szCs w:val="18"/>
          <w:color w:val="231F20"/>
        </w:rPr>
        <w:t>This Prospectus and Prospectus Supplement No. 1 relate to the offer and sale from time to time by the selling security holders identified in this prospectus (including their transferees, donees, pledgees and other successors-in-interest) (the “Selling Securityholders”) of: up to 397,045,769 shares of Class A Common Stock (the “Total Resale Shares”), including (i) 211,176,779 shares of Class A Common Stock which shares were originally issued to certain Getty Images Equityholders (as defined herein) in connection with the consummation of the Business Combination as merger consideration at an equity consideration value of $10.00 per share, (ii) up to 58,682,241 shares of Class A Common Stock (the “Earn-Out Shares”) that certain Griffey Global (as defined herein) equity holders received after achieving certain vesting conditions described herein as merger consideration (at an equity consideration value of $10.00 per share), (iii) up to 3,930,753 shares of Class A Common Stock issuable to certain Getty Images Equityholders upon the exercise or vesting of certain equity awards: (A) 2,753,341 of such shares have an exercise price of $3.13 per share, (B) 555,430 of such shares have an exercise price of $7.82 per share, (C) 228,107 of such shares have an exercise price of $2.74 per share, (D) 155,802 of such shares have an exercise price of $1.96 per share, (E) 183,359 of such shares have an exercise price of $2.35 per share, (F) 14,922 of such shares have an exercise price of $4.70 per share and (G) 39,792 of such shares have an exercise price of $3.52 per share, (iv) up to 20,560,000 shares of Class A Common Stock (the “Founder Shares”) issued in connection with the consummation of the Business Combination, originally issued in a private placement to CC Neuberger Principal Holdings II Sponsor LLC (“Sponsor”) at a price of $0.001 per share and a portion transferred to the Pre-Closing Independent Directors (as defined herein), (v) up to 2,570,000 shares of Class A Common Stock issued as a result of the conversion of Series B-1 Common Stock (as defined herein), after achieving certain vesting conditions pursuant to the Sponsor Side Letter (as defined below), originally issued at a price of approximately $0.001 per share, (vi) up to 2,570,000 shares of Class A Common Stock issued as a result of the conversion of Series B-2 Common Stock (as defined herein), after achieving certain vesting conditions pursuant to the Sponsor Side Letter, originally issued at a price of approximately $0.001 per share, (vii) 30,000,000 shares of Class A Common Stock issued to NBOKS pursuant to the Backstop Agreement (as defined below) (the “Backstop Shares”), originally issued at a price of $10.00 per share, (viii) 20,000,000 shares of Class A Common Stock issued to NBOKS pursuant to the Forward Purchase Agreement (as defined below) (the “Forward Purchase Shares”), originally issued at a price of $10.00 per share, (ix) up to 36,000,000 shares of Class A Common Stock issued to certain Selling Securityholders pursuant to subscription agreements in connection with the Business Combination (the “PIPE Shares”), which were originally issued for a price of $10.00 per share, and (x) up to 11,555,996 shares of our Class A Common Stock that were issued at a price of $11.50 per share on a cashless exercise basis upon the exercise by CC NB Sponsor 2 Holdings LLC (“CC Holding”) and NBOKS of 18,560,000 private placement warrants (the “Private Placement Warrants”), which were originally issued to the Sponsor in a private placement at a price of $1.00 per warrant consummated concurrently with CCNB’s initial public offering and subsequently distributed to CC Holding and NBOKS, as the members of the Sponsor, for no additional consideration. Depending on the price, the public securityholders may have paid significantly more than the Selling Securityholders for any shares they may have purchased in the open market based on variable market price.</w:t>
      </w:r>
    </w:p>
    <w:p>
      <w:pPr>
        <w:spacing w:after="0" w:line="203" w:lineRule="exact"/>
        <w:rPr>
          <w:sz w:val="24"/>
          <w:szCs w:val="24"/>
          <w:color w:val="auto"/>
        </w:rPr>
      </w:pPr>
    </w:p>
    <w:p>
      <w:pPr>
        <w:ind w:right="140" w:firstLine="359"/>
        <w:spacing w:after="0" w:line="261" w:lineRule="auto"/>
        <w:rPr>
          <w:sz w:val="20"/>
          <w:szCs w:val="20"/>
          <w:color w:val="auto"/>
        </w:rPr>
      </w:pPr>
      <w:r>
        <w:rPr>
          <w:rFonts w:ascii="Times New Roman" w:cs="Times New Roman" w:eastAsia="Times New Roman" w:hAnsi="Times New Roman"/>
          <w:sz w:val="18"/>
          <w:szCs w:val="18"/>
          <w:color w:val="231F20"/>
        </w:rPr>
        <w:t>We will not receive any proceeds from the sale of shares of our Class A Common Stock (the “Class A Common Stock”) by the Selling Securityholders pursuant to this Prospectus and Prospectus Supplement No. 1.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 and Prospectus Supplement No. 1.</w:t>
      </w:r>
    </w:p>
    <w:p>
      <w:pPr>
        <w:spacing w:after="0" w:line="180" w:lineRule="exact"/>
        <w:rPr>
          <w:sz w:val="24"/>
          <w:szCs w:val="24"/>
          <w:color w:val="auto"/>
        </w:rPr>
      </w:pPr>
    </w:p>
    <w:p>
      <w:pPr>
        <w:ind w:right="220" w:firstLine="359"/>
        <w:spacing w:after="0" w:line="256" w:lineRule="auto"/>
        <w:rPr>
          <w:sz w:val="20"/>
          <w:szCs w:val="20"/>
          <w:color w:val="auto"/>
        </w:rPr>
      </w:pPr>
      <w:r>
        <w:rPr>
          <w:rFonts w:ascii="Times New Roman" w:cs="Times New Roman" w:eastAsia="Times New Roman" w:hAnsi="Times New Roman"/>
          <w:sz w:val="18"/>
          <w:szCs w:val="18"/>
          <w:color w:val="231F20"/>
        </w:rPr>
        <w:t xml:space="preserve">Our registration of the securities covered by this Prospectus and Prospectus Supplement No. 1 does not mean that the Selling Securityholders will offer or sell any of the securities. The Selling Securityholders may offer and sell the securities covered by this Prospectus and Prospectus Supplement No. 1 in a number of different ways and at varying prices. Please see </w:t>
      </w:r>
      <w:r>
        <w:rPr>
          <w:rFonts w:ascii="Times New Roman" w:cs="Times New Roman" w:eastAsia="Times New Roman" w:hAnsi="Times New Roman"/>
          <w:sz w:val="18"/>
          <w:szCs w:val="18"/>
          <w:i w:val="1"/>
          <w:iCs w:val="1"/>
          <w:color w:val="231F20"/>
        </w:rPr>
        <w:t>“Plan of Distribution”</w:t>
      </w:r>
      <w:r>
        <w:rPr>
          <w:rFonts w:ascii="Times New Roman" w:cs="Times New Roman" w:eastAsia="Times New Roman" w:hAnsi="Times New Roman"/>
          <w:sz w:val="18"/>
          <w:szCs w:val="18"/>
          <w:color w:val="231F20"/>
        </w:rPr>
        <w:t xml:space="preserve"> for more information. In addition, certain of the securities being registered hereby are subject to vesting and/or transfer restrictions that may prevent the Selling Securityholders from offering or selling of such securities upon the effectiveness of the registration statement of which this Prospectus and Prospectus Supplement No. 1 are a part. See </w:t>
      </w:r>
      <w:r>
        <w:rPr>
          <w:rFonts w:ascii="Times New Roman" w:cs="Times New Roman" w:eastAsia="Times New Roman" w:hAnsi="Times New Roman"/>
          <w:sz w:val="18"/>
          <w:szCs w:val="18"/>
          <w:i w:val="1"/>
          <w:iCs w:val="1"/>
          <w:color w:val="231F20"/>
        </w:rPr>
        <w:t>“Description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Securities” </w:t>
      </w:r>
      <w:r>
        <w:rPr>
          <w:rFonts w:ascii="Times New Roman" w:cs="Times New Roman" w:eastAsia="Times New Roman" w:hAnsi="Times New Roman"/>
          <w:sz w:val="18"/>
          <w:szCs w:val="18"/>
          <w:color w:val="231F20"/>
        </w:rPr>
        <w:t>for more information.</w:t>
      </w:r>
    </w:p>
    <w:p>
      <w:pPr>
        <w:spacing w:after="0" w:line="187" w:lineRule="exact"/>
        <w:rPr>
          <w:sz w:val="24"/>
          <w:szCs w:val="24"/>
          <w:color w:val="auto"/>
        </w:rPr>
      </w:pPr>
    </w:p>
    <w:p>
      <w:pPr>
        <w:ind w:right="120" w:firstLine="359"/>
        <w:spacing w:after="0" w:line="266" w:lineRule="auto"/>
        <w:rPr>
          <w:sz w:val="20"/>
          <w:szCs w:val="20"/>
          <w:color w:val="auto"/>
        </w:rPr>
      </w:pPr>
      <w:r>
        <w:rPr>
          <w:rFonts w:ascii="Times New Roman" w:cs="Times New Roman" w:eastAsia="Times New Roman" w:hAnsi="Times New Roman"/>
          <w:sz w:val="18"/>
          <w:szCs w:val="18"/>
          <w:color w:val="231F20"/>
        </w:rPr>
        <w:t>You should read this prospectus and any prospectus supplement or amendment carefully before you invest in our securities. Our Class A Common Stock are traded on the New York Stock Exchange (the “NYSE”) under the symbol “GETY”. On May 9, 2023, the last reported sale price of our Class A Common Stock on the NYSE was $6.43 per share.</w:t>
      </w:r>
    </w:p>
    <w:p>
      <w:pPr>
        <w:spacing w:after="0" w:line="176" w:lineRule="exact"/>
        <w:rPr>
          <w:sz w:val="24"/>
          <w:szCs w:val="24"/>
          <w:color w:val="auto"/>
        </w:rPr>
      </w:pPr>
    </w:p>
    <w:p>
      <w:pPr>
        <w:ind w:right="80" w:firstLine="359"/>
        <w:spacing w:after="0" w:line="282" w:lineRule="auto"/>
        <w:rPr>
          <w:sz w:val="20"/>
          <w:szCs w:val="20"/>
          <w:color w:val="auto"/>
        </w:rPr>
      </w:pPr>
      <w:r>
        <w:rPr>
          <w:rFonts w:ascii="Times New Roman" w:cs="Times New Roman" w:eastAsia="Times New Roman" w:hAnsi="Times New Roman"/>
          <w:sz w:val="18"/>
          <w:szCs w:val="18"/>
          <w:color w:val="231F20"/>
        </w:rPr>
        <w:t>We are an “emerging growth company” under federal securities laws and are subject to reduced public company reporting requirements. Investing in our Class A Common Stock involves a high degree of risk. See “Risk Factors” beginning on page 16 of this Prospectus.</w:t>
      </w:r>
    </w:p>
    <w:p>
      <w:pPr>
        <w:spacing w:after="0" w:line="158" w:lineRule="exact"/>
        <w:rPr>
          <w:sz w:val="24"/>
          <w:szCs w:val="24"/>
          <w:color w:val="auto"/>
        </w:rPr>
      </w:pPr>
    </w:p>
    <w:p>
      <w:pPr>
        <w:ind w:right="300" w:firstLine="359"/>
        <w:spacing w:after="0" w:line="286" w:lineRule="auto"/>
        <w:rPr>
          <w:sz w:val="20"/>
          <w:szCs w:val="20"/>
          <w:color w:val="auto"/>
        </w:rPr>
      </w:pPr>
      <w:r>
        <w:rPr>
          <w:rFonts w:ascii="Times New Roman" w:cs="Times New Roman" w:eastAsia="Times New Roman" w:hAnsi="Times New Roman"/>
          <w:sz w:val="18"/>
          <w:szCs w:val="18"/>
          <w:b w:val="1"/>
          <w:bCs w:val="1"/>
          <w:color w:val="231F20"/>
        </w:rPr>
        <w:t>Neither the Securities and Exchange Commission nor any state securities commission has approved or disapproved of these securities, or determined if this Prospectus Supplement No. 1 is truthful or complete. Any representation to the contrary is a criminal offense.</w:t>
      </w:r>
    </w:p>
    <w:p>
      <w:pPr>
        <w:spacing w:after="0" w:line="15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The date of this prospectus is May 10, 2023</w:t>
      </w:r>
    </w:p>
    <w:p>
      <w:pPr>
        <w:sectPr>
          <w:pgSz w:w="11900" w:h="16838" w:orient="portrait"/>
          <w:cols w:equalWidth="0" w:num="1">
            <w:col w:w="11140"/>
          </w:cols>
          <w:pgMar w:left="420" w:top="468" w:right="339" w:bottom="249"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GETTY IMAGES HOLDINGS,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001-41453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87-3764229</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0"/>
          <w:szCs w:val="20"/>
          <w:color w:val="auto"/>
        </w:rPr>
      </w:pPr>
    </w:p>
    <w:p>
      <w:pPr>
        <w:sectPr>
          <w:pgSz w:w="11900" w:h="16838" w:orient="portrait"/>
          <w:cols w:equalWidth="0" w:num="3">
            <w:col w:w="4460" w:space="720"/>
            <w:col w:w="2820" w:space="720"/>
            <w:col w:w="2520"/>
          </w:cols>
          <w:pgMar w:left="320" w:top="1429" w:right="339" w:bottom="1440" w:gutter="0" w:footer="0" w:header="0"/>
          <w:type w:val="continuous"/>
        </w:sectPr>
      </w:pPr>
    </w:p>
    <w:p>
      <w:pPr>
        <w:spacing w:after="0" w:line="3"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605 5th Ave S. Suite 400</w:t>
      </w:r>
    </w:p>
    <w:p>
      <w:pPr>
        <w:spacing w:after="0" w:line="31"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Seattle, WA</w:t>
      </w:r>
    </w:p>
    <w:p>
      <w:pPr>
        <w:spacing w:after="0" w:line="9"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98104</w:t>
      </w:r>
    </w:p>
    <w:p>
      <w:pPr>
        <w:spacing w:after="0" w:line="31"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0"/>
          <w:szCs w:val="20"/>
          <w:color w:val="auto"/>
        </w:rPr>
      </w:pPr>
    </w:p>
    <w:p>
      <w:pPr>
        <w:sectPr>
          <w:pgSz w:w="11900" w:h="16838" w:orient="portrait"/>
          <w:cols w:equalWidth="0" w:num="2">
            <w:col w:w="7320" w:space="720"/>
            <w:col w:w="3200"/>
          </w:cols>
          <w:pgMar w:left="320" w:top="1429" w:right="3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(206) 925-5000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0"/>
          <w:szCs w:val="20"/>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6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GETY</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4, 2023, Abe Investment Holdings, Inc. and Getty Images, Inc. (the “Getty Borrower”), which are subsidiaries of Getty Images Holdings, Inc., amended their existing senior secured credit facility with J.P. Morgan Chase Bank N.A., as administrative agent, and the other loan parties party thereto, to, among other things, (i) upsize the total amount of commitments under the revolving credit facility capacity from $80 million to $150 million and (ii) extend the maturity of the revolving credit facility until May 4, 2028 (with springing maturity to 180 days prior to the maturity of the existing $1,040.0 million term loan facility, the existing €450.0 million term loan facility and/or $300 million unsecured senior notes if more than $100.0 million in aggregate principal amount of such debt is outstanding with a maturity no later than 180 days after May 4, 2028).</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revolving credit facility will accrue interest initially at a rate equal to, at the Getty Borrower’s election, Term SOFR plus a margin of 4.00% or the Base Rate plus a margin of 3.00%. Term SOFR is subject to a 0.10% credit spread adjustment. The margin for the revolving credit facility is subject to adjustment based on the consolidated total debt to consolidated EBITDA ratio of the Getty Borrower and its restricted subsidiaries. The revolving credit facility also contains other covenants and events of default customary for credit facilities of this type.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to the senior secured credit facility does not purport to be complete and is qualified in its entirety by reference to the full text of the amendment, which is attached hereto as Exhibit 10.1 and incorporated in this Item 1.01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hereby incorporated in this Item 2.03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2"/>
        </w:trPr>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49"/>
        </w:trPr>
        <w:tc>
          <w:tcPr>
            <w:tcW w:w="1240" w:type="dxa"/>
            <w:vAlign w:val="bottom"/>
            <w:gridSpan w:val="2"/>
          </w:tcPr>
          <w:p>
            <w:pPr>
              <w:spacing w:after="0" w:line="136" w:lineRule="exact"/>
              <w:rPr>
                <w:rFonts w:ascii="Times New Roman" w:cs="Times New Roman" w:eastAsia="Times New Roman" w:hAnsi="Times New Roman"/>
                <w:sz w:val="15"/>
                <w:szCs w:val="15"/>
                <w:color w:val="0000EE"/>
              </w:rPr>
            </w:pPr>
            <w:hyperlink r:id="rId20">
              <w:r>
                <w:rPr>
                  <w:rFonts w:ascii="Times New Roman" w:cs="Times New Roman" w:eastAsia="Times New Roman" w:hAnsi="Times New Roman"/>
                  <w:sz w:val="15"/>
                  <w:szCs w:val="15"/>
                  <w:color w:val="0000EE"/>
                </w:rPr>
                <w:t>10.</w:t>
              </w:r>
              <w:r>
                <w:rPr>
                  <w:rFonts w:ascii="Times New Roman" w:cs="Times New Roman" w:eastAsia="Times New Roman" w:hAnsi="Times New Roman"/>
                  <w:sz w:val="15"/>
                  <w:szCs w:val="15"/>
                  <w:u w:val="single" w:color="auto"/>
                  <w:color w:val="0000EE"/>
                </w:rPr>
                <w:t>1</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auto"/>
            </w:tcBorders>
            <w:gridSpan w:val="2"/>
          </w:tcPr>
          <w:p>
            <w:pPr>
              <w:spacing w:after="0" w:line="142" w:lineRule="exact"/>
              <w:rPr>
                <w:rFonts w:ascii="Times New Roman" w:cs="Times New Roman" w:eastAsia="Times New Roman" w:hAnsi="Times New Roman"/>
                <w:sz w:val="16"/>
                <w:szCs w:val="16"/>
                <w:color w:val="0000EE"/>
              </w:rPr>
            </w:pPr>
            <w:hyperlink r:id="rId20">
              <w:r>
                <w:rPr>
                  <w:rFonts w:ascii="Times New Roman" w:cs="Times New Roman" w:eastAsia="Times New Roman" w:hAnsi="Times New Roman"/>
                  <w:sz w:val="16"/>
                  <w:szCs w:val="16"/>
                  <w:color w:val="0000EE"/>
                </w:rPr>
                <w:t>Incremental Commitment Amendment and Second Amendment to Credit Agreement, dated as of May 4, 2023, by and among Abe</w:t>
              </w:r>
            </w:hyperlink>
          </w:p>
        </w:tc>
      </w:tr>
      <w:tr>
        <w:trPr>
          <w:trHeight w:val="27"/>
        </w:trPr>
        <w:tc>
          <w:tcPr>
            <w:tcW w:w="320" w:type="dxa"/>
            <w:vAlign w:val="bottom"/>
            <w:shd w:val="clear" w:color="auto" w:fill="0000EE"/>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58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r>
      <w:tr>
        <w:trPr>
          <w:trHeight w:val="203"/>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Borders>
              <w:bottom w:val="single" w:sz="8" w:color="0000EE"/>
            </w:tcBorders>
            <w:gridSpan w:val="3"/>
          </w:tcPr>
          <w:p>
            <w:pPr>
              <w:spacing w:after="0" w:line="202"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Investment Holdings, Inc., Getty Images, Inc., J.P. Morgan Chase Bank N.A., as administrative agent, as an L/C Issuer (as defined</w:t>
              </w:r>
            </w:hyperlink>
          </w:p>
        </w:tc>
      </w:tr>
      <w:tr>
        <w:trPr>
          <w:trHeight w:val="196"/>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therein) and as Swing Line Lender (as defined therein), the lenders party thereto and the other loan parties party thereto</w:t>
              </w:r>
            </w:hyperlink>
          </w:p>
        </w:tc>
        <w:tc>
          <w:tcPr>
            <w:tcW w:w="130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10, 2023</w:t>
      </w:r>
      <w:r>
        <w:rPr>
          <w:sz w:val="20"/>
          <w:szCs w:val="20"/>
          <w:color w:val="auto"/>
        </w:rPr>
        <w:tab/>
      </w:r>
      <w:r>
        <w:rPr>
          <w:rFonts w:ascii="Times New Roman" w:cs="Times New Roman" w:eastAsia="Times New Roman" w:hAnsi="Times New Roman"/>
          <w:sz w:val="17"/>
          <w:szCs w:val="17"/>
          <w:b w:val="1"/>
          <w:bCs w:val="1"/>
          <w:color w:val="auto"/>
        </w:rPr>
        <w:t>GETTY IMAGES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Kjelti Kellough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Kjelti Kellough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6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0" Type="http://schemas.openxmlformats.org/officeDocument/2006/relationships/hyperlink" Target="https://www.sec.gov/Archives/edgar/data/1898496/000110465923058034/tm2314888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2023-05-10T07:41:47Z</dcterms:created>
  <dcterms:modified xsi:type="dcterms:W3CDTF">2023-05-10T07:41:47Z</dcterms:modified>
</cp:coreProperties>
</file>