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4258-8k425_getty.htm"/>
      <w:bookmarkStart w:id="1" w:name="ksea02942588k425_getty"/>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60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Getty Images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165"/>
        <w:gridCol w:w="60"/>
        <w:gridCol w:w="2615"/>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sz w:val="20"/>
              </w:rPr>
            </w:pPr>
            <w:bookmarkStart w:id="6" w:name="xdx_902_edei--EntityFileNumber_c20260609"/>
            <w:bookmarkEnd w:id="6"/>
            <w:r>
              <w:rPr>
                <w:b/>
                <w:sz w:val="20"/>
              </w:rPr>
              <w:t>001-41453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5_edei--EntityTaxIdentificationNum"/>
            <w:bookmarkEnd w:id="7"/>
            <w:r>
              <w:rPr>
                <w:b/>
                <w:sz w:val="20"/>
              </w:rPr>
              <w:t>87-3764229</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
        </w:rPr>
      </w:pPr>
      <w:bookmarkStart w:id="8" w:name="xdx_905_edei--EntityAddressAddressLine1_"/>
      <w:bookmarkEnd w:id="8"/>
      <w:r>
        <w:rPr>
          <w:b/>
        </w:rPr>
        <w:t>605 5th Ave S. Suite 400</w:t>
      </w:r>
    </w:p>
    <w:p>
      <w:pPr>
        <w:pStyle w:val="TextBody"/>
        <w:bidi w:val="0"/>
        <w:jc w:val="center"/>
        <w:rPr>
          <w:b/>
        </w:rPr>
      </w:pPr>
      <w:bookmarkStart w:id="9" w:name="xdx_905_edei--EntityAddressCityOrTown_c2"/>
      <w:bookmarkEnd w:id="9"/>
      <w:r>
        <w:rPr>
          <w:b/>
        </w:rPr>
        <w:t xml:space="preserve">Seattle, </w:t>
      </w:r>
      <w:bookmarkStart w:id="10" w:name="xdx_90E_edei--EntityAddressStateOrProvin"/>
      <w:bookmarkEnd w:id="10"/>
      <w:r>
        <w:rPr>
          <w:b/>
        </w:rPr>
        <w:t xml:space="preserve">WA </w:t>
      </w:r>
      <w:bookmarkStart w:id="11" w:name="xdx_903_edei--EntityAddressPostalZipCode"/>
      <w:bookmarkEnd w:id="11"/>
      <w:r>
        <w:rPr>
          <w:b/>
        </w:rPr>
        <w:t>98104</w:t>
      </w:r>
    </w:p>
    <w:p>
      <w:pPr>
        <w:pStyle w:val="TextBody"/>
        <w:bidi w:val="0"/>
        <w:jc w:val="center"/>
        <w:rPr>
          <w:b/>
        </w:rPr>
      </w:pPr>
      <w:r>
        <w:rPr>
          <w:b/>
        </w:rPr>
        <w:t>(Address of principal executive offices, including Zip Code)</w:t>
      </w:r>
    </w:p>
    <w:p>
      <w:pPr>
        <w:pStyle w:val="TextBody"/>
        <w:bidi w:val="0"/>
        <w:jc w:val="center"/>
        <w:rPr/>
      </w:pPr>
      <w:r>
        <w:rPr/>
        <w:t> </w:t>
      </w:r>
    </w:p>
    <w:p>
      <w:pPr>
        <w:pStyle w:val="TextBody"/>
        <w:bidi w:val="0"/>
        <w:jc w:val="center"/>
        <w:rPr/>
      </w:pPr>
      <w:r>
        <w:rPr/>
        <w:t xml:space="preserve">Registrant’s telephone number, including area code: </w:t>
      </w:r>
      <w:r>
        <w:rPr>
          <w:b/>
        </w:rPr>
        <w:t>(</w:t>
      </w:r>
      <w:bookmarkStart w:id="12" w:name="xdx_90B_edei--CityAreaCode_c20260609__20"/>
      <w:bookmarkEnd w:id="12"/>
      <w:r>
        <w:rPr>
          <w:b/>
        </w:rPr>
        <w:t xml:space="preserve">206) </w:t>
      </w:r>
      <w:bookmarkStart w:id="13" w:name="xdx_90F_edei--LocalPhoneNumber_c20260609"/>
      <w:bookmarkEnd w:id="13"/>
      <w:r>
        <w:rPr>
          <w:b/>
        </w:rPr>
        <w:t>925-5000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4_edei--SolicitingMaterial_c202606"/>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shd w:fill="FFFFFF" w:val="clear"/>
        <w:tblLayout w:type="fixed"/>
        <w:tblCellMar>
          <w:top w:w="0" w:type="dxa"/>
          <w:left w:w="0" w:type="dxa"/>
          <w:bottom w:w="28" w:type="dxa"/>
          <w:right w:w="0" w:type="dxa"/>
        </w:tblCellMar>
      </w:tblPr>
      <w:tblGrid>
        <w:gridCol w:w="1955"/>
        <w:gridCol w:w="60"/>
        <w:gridCol w:w="1610"/>
        <w:gridCol w:w="60"/>
        <w:gridCol w:w="3845"/>
      </w:tblGrid>
      <w:tr>
        <w:trPr/>
        <w:tc>
          <w:tcPr>
            <w:tcW w:w="1955" w:type="dxa"/>
            <w:tcBorders>
              <w:bottom w:val="single" w:sz="12"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5"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1955" w:type="dxa"/>
            <w:tcBorders/>
            <w:shd w:fill="CCEEFF" w:val="clear"/>
            <w:tcMar>
              <w:bottom w:w="0" w:type="dxa"/>
            </w:tcMar>
            <w:vAlign w:val="center"/>
          </w:tcPr>
          <w:p>
            <w:pPr>
              <w:pStyle w:val="TableContents"/>
              <w:bidi w:val="0"/>
              <w:spacing w:before="0" w:after="283"/>
              <w:jc w:val="center"/>
              <w:rPr>
                <w:sz w:val="20"/>
              </w:rPr>
            </w:pPr>
            <w:bookmarkStart w:id="18" w:name="xdx_900_edei--Security12bTitle_c20260609"/>
            <w:bookmarkEnd w:id="18"/>
            <w:r>
              <w:rPr>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F_edei--TradingSymbol_c20260609__2"/>
            <w:bookmarkEnd w:id="19"/>
            <w:r>
              <w:rPr>
                <w:sz w:val="20"/>
              </w:rPr>
              <w:t>GETY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5" w:type="dxa"/>
            <w:tcBorders/>
            <w:shd w:fill="CCEEFF" w:val="clear"/>
            <w:tcMar>
              <w:bottom w:w="0" w:type="dxa"/>
            </w:tcMar>
            <w:vAlign w:val="center"/>
          </w:tcPr>
          <w:p>
            <w:pPr>
              <w:pStyle w:val="TableContents"/>
              <w:bidi w:val="0"/>
              <w:spacing w:before="0" w:after="283"/>
              <w:jc w:val="center"/>
              <w:rPr>
                <w:sz w:val="20"/>
              </w:rPr>
            </w:pPr>
            <w:bookmarkStart w:id="20" w:name="xdx_900_edei--SecurityExchangeName_c2026"/>
            <w:bookmarkEnd w:id="20"/>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disclosed, Getty Images Holdings, Inc. (the “Company”) was named in Funicular Funds LP, et al. v. Getty Images Holdings, Inc., Index No. 653410/2024 (filed July 5, 2024), a consolidated action in New York State Supreme Court, New York County, generally alleging breaches of the warrant agreements, dated August 4, 2020, and seeking an award of money damages. On June 9, 2026, following oral argument, the court issued a decision and order granting plaintiffs’ motion for summary judgment as to the warrants for which plaintiffs had provided authorization letters and conditionally granting summary judgment as to certain remaining warrants, subject to plaintiffs providing the court such authorizations no later than August 10, 2026, at which time the court will direct the entry of judgment. Plaintiffs sought $67,811,031, plus pre-judgment interest, in their motion for summary judgment, </w:t>
      </w:r>
      <w:r>
        <w:rPr>
          <w:rFonts w:ascii="Times New Roman;Times;Serif" w:hAnsi="Times New Roman;Times;Serif"/>
          <w:b w:val="false"/>
          <w:i w:val="false"/>
          <w:caps w:val="false"/>
          <w:smallCaps w:val="false"/>
          <w:color w:val="000000"/>
          <w:sz w:val="20"/>
        </w:rPr>
        <w:t>which, as previously disclosed in the Company's Quarterly Report on Form 10-Q filed with the U.S. Securities and Exchange Commission on May 11, 2026, has been reserved against in the Condensed Consolidated Balance Sheet of the Company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7075" w:type="dxa"/>
        <w:jc w:val="left"/>
        <w:tblInd w:w="0" w:type="dxa"/>
        <w:tblLayout w:type="fixed"/>
        <w:tblCellMar>
          <w:top w:w="0" w:type="dxa"/>
          <w:left w:w="0" w:type="dxa"/>
          <w:bottom w:w="28" w:type="dxa"/>
          <w:right w:w="0" w:type="dxa"/>
        </w:tblCellMar>
      </w:tblPr>
      <w:tblGrid>
        <w:gridCol w:w="1145"/>
        <w:gridCol w:w="60"/>
        <w:gridCol w:w="5870"/>
      </w:tblGrid>
      <w:tr>
        <w:trPr/>
        <w:tc>
          <w:tcPr>
            <w:tcW w:w="1145" w:type="dxa"/>
            <w:tcBorders>
              <w:bottom w:val="single" w:sz="12" w:space="0" w:color="000000"/>
            </w:tcBorders>
            <w:vAlign w:val="center"/>
          </w:tcPr>
          <w:p>
            <w:pPr>
              <w:pStyle w:val="TableContents"/>
              <w:bidi w:val="0"/>
              <w:spacing w:before="0" w:after="283"/>
              <w:jc w:val="left"/>
              <w:rPr/>
            </w:pPr>
            <w:r>
              <w:rPr/>
              <w:t>Exhibit No.</w:t>
            </w:r>
          </w:p>
        </w:tc>
        <w:tc>
          <w:tcPr>
            <w:tcW w:w="60" w:type="dxa"/>
            <w:tcBorders/>
            <w:tcMar>
              <w:bottom w:w="0" w:type="dxa"/>
            </w:tcMar>
            <w:vAlign w:val="center"/>
          </w:tcPr>
          <w:p>
            <w:pPr>
              <w:pStyle w:val="TableContents"/>
              <w:bidi w:val="0"/>
              <w:spacing w:before="0" w:after="283"/>
              <w:jc w:val="left"/>
              <w:rPr/>
            </w:pPr>
            <w:r>
              <w:rPr/>
              <w:t> </w:t>
            </w:r>
          </w:p>
        </w:tc>
        <w:tc>
          <w:tcPr>
            <w:tcW w:w="5870" w:type="dxa"/>
            <w:tcBorders>
              <w:bottom w:val="single" w:sz="12" w:space="0" w:color="000000"/>
            </w:tcBorders>
            <w:vAlign w:val="center"/>
          </w:tcPr>
          <w:p>
            <w:pPr>
              <w:pStyle w:val="TableContents"/>
              <w:bidi w:val="0"/>
              <w:spacing w:before="0" w:after="283"/>
              <w:jc w:val="left"/>
              <w:rPr/>
            </w:pPr>
            <w:r>
              <w:rPr/>
              <w:t>Description</w:t>
            </w:r>
          </w:p>
        </w:tc>
      </w:tr>
      <w:tr>
        <w:trPr/>
        <w:tc>
          <w:tcPr>
            <w:tcW w:w="114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70" w:type="dxa"/>
            <w:tcBorders/>
            <w:shd w:fill="CCEEFF" w:val="clear"/>
            <w:tcMar>
              <w:bottom w:w="0" w:type="dxa"/>
            </w:tcMar>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report that are not historical facts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 our inability to continue to license third-party content and offer relevant quality and diversity of content to satisfy customer needs; our ability to attract new customers and retain and motivate an increase in spending by its existing customers; the user experience of our customers on our websites; the extent to which we are able to maintain and expand the breadth and quality of our content library through content licensed from third-party suppliers, content acquisitions and imagery captured by its staff of in-house photographers; the mix of and basis upon which we license our content, including the price-points at, and the license models and purchase options through, which we license our content; the risk that we operate in a highly competitive market; the risk that we are unable to successfully execute our business strategy or effectively manage costs; our inability to effectively manage our growth; our inability to maintain an effective system of internal controls and financial reporting; the risk that we may lose the right to use “Getty Images” trademarks; our inability to evaluate our future prospects and challenges due to evolving markets and customers’ industries; the legal, social and ethical issues relating to the use of new and evolving technologies, such as Artificial Intelligence (“AI”); the risk that our operations in and continued expansion into international markets bring additional business, political, regulatory, operational, financial and economic risks; our inability to adequately adapt our technology systems to ingest and deliver sufficient new content; the risk of technological interruptions or cybersecurity vulnerabilities; the risk that any prolonged strike by, or lockout of, one or more of the unions that provide personnel essential to the production of films or television programs could further impact our entertainment business; the inability to expand our operations into new products, services and technologies and to increase customer and supplier awareness of new and emerging products and services, including with respect to our AI initiatives; the loss of and inability to attract and retain key personnel that could negatively impact our business growth; the inability to protect the proprietary information of customers and networks against security breaches and protect and enforce intellectual property rights; our reliance on third parties; the risks related to our use of independent contractors;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higher interest rates, devaluation the impact of recent bank failures on the marketplace and the ability to access credit and significant political or civil disturbances in international markets where we conduct business; the risk that claims, judgements, lawsuits and other proceedings that have been, or may be, instituted against us or our predecessors could adversely affect our business; the inability to maintain the listing of our Class A common stock on the New York Stock Exchange; volatility in our stock price and in the liquidity of the trading market for our Class A common stock; changes in applicable laws or regulations; the risks associated with evolving corporate governance and public disclosure requirements; the risk of greater than anticipated tax liabilities; the risks associated with the storage and use of personally identifiable information; earnings-related risks such as those associated with late payments, goodwill or other intangible assets; our ability to obtain additional capital on commercially reasonable terms; the risks associated with being an “emerging growth company” and “smaller reporting company” within the meaning of the U. S. securities laws; risks associated with our reliance on information technology in critical areas of our operations; our inability to pay dividends for the foreseeable future; the risks associated with additional issuances of Class A common stock without stockholder approval; costs related to operating as a public company; and those factors discussed under the heading “Item 1.A. Risk Factors” of our most recently filed Annual Report on Form 10-K. If any of these risks materialize or our assumptions prove incorrect, actual results could differ materially from the results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that could cause actual results to differ from those implied by the forward-looking statements in this report are more fully described under the heading “Item 1.A. Risk Factors” in our most recently filed Annual Report on Form 10-K and in our other filings with the SEC. The risks described under the heading “Item 1.A. Risk Factors” in our most recently filed Annual Report on Form 10-K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7485" w:type="dxa"/>
        <w:jc w:val="left"/>
        <w:tblInd w:w="0" w:type="dxa"/>
        <w:tblLayout w:type="fixed"/>
        <w:tblCellMar>
          <w:top w:w="0" w:type="dxa"/>
          <w:left w:w="0" w:type="dxa"/>
          <w:bottom w:w="0" w:type="dxa"/>
          <w:right w:w="0" w:type="dxa"/>
        </w:tblCellMar>
      </w:tblPr>
      <w:tblGrid>
        <w:gridCol w:w="1655"/>
        <w:gridCol w:w="575"/>
        <w:gridCol w:w="525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830" w:type="dxa"/>
            <w:gridSpan w:val="2"/>
            <w:tcBorders/>
            <w:vAlign w:val="center"/>
          </w:tcPr>
          <w:p>
            <w:pPr>
              <w:pStyle w:val="TableContents"/>
              <w:bidi w:val="0"/>
              <w:spacing w:before="0" w:after="283"/>
              <w:jc w:val="left"/>
              <w:rPr>
                <w:b/>
                <w:smallCaps/>
                <w:sz w:val="20"/>
              </w:rPr>
            </w:pPr>
            <w:r>
              <w:rPr>
                <w:b/>
                <w:smallCaps/>
                <w:sz w:val="20"/>
              </w:rPr>
              <w:t>GETTY IMAGES HOLDINGS,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83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10, 2026</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Kjelti Kellough</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Kjelti Kellough</w:t>
            </w:r>
          </w:p>
        </w:tc>
      </w:tr>
      <w:tr>
        <w:trPr/>
        <w:tc>
          <w:tcPr>
            <w:tcW w:w="16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20"/>
              </w:rPr>
            </w:pPr>
            <w:r>
              <w:rPr>
                <w:sz w:val="20"/>
              </w:rPr>
              <w:t>Title:</w:t>
            </w:r>
          </w:p>
        </w:tc>
        <w:tc>
          <w:tcPr>
            <w:tcW w:w="5255" w:type="dxa"/>
            <w:tcBorders/>
            <w:vAlign w:val="center"/>
          </w:tcPr>
          <w:p>
            <w:pPr>
              <w:pStyle w:val="TableContents"/>
              <w:bidi w:val="0"/>
              <w:spacing w:before="0" w:after="283"/>
              <w:jc w:val="left"/>
              <w:rPr>
                <w:sz w:val="20"/>
              </w:rPr>
            </w:pPr>
            <w:r>
              <w:rPr>
                <w:sz w:val="20"/>
              </w:rPr>
              <w:t>Senior Vice President, General Counsel, and Corporate Secretary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1724</Words>
  <Characters>9627</Characters>
  <CharactersWithSpaces>11350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