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63617-8k425_getty.htm"/>
      <w:bookmarkStart w:id="1" w:name="ksea02636178k425_getty"/>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November 3,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Getty Images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r>
              <w:rPr>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87-3764229</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605 5th Ave S. Suite 400 </w:t>
        <w:br/>
        <w:t>Seattle, WA 98104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(206) 925-5000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GETY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center"/>
              <w:rPr>
                <w:sz w:val="20"/>
              </w:rPr>
            </w:pPr>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Getty Images Holdings, Inc. (“Getty Images”) issued a press release (“Press Release”) announcing that the UK’s Competition and Markets Authority (the “CMA”) has referred Getty Images’ previously announced merger with Shutterstock Inc. (“Shutterstock”) to a Phase 2 review process. Getty Images offered comprehensive remedies to avoid a Phase 2 review and is disappointed at the CMA’s decision but remains committed to the proposed merger and will continue to engage with the CMA and work with Shutterstock to expeditiously secure the necessary clearances.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36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28" w:type="dxa"/>
          <w:right w:w="0" w:type="dxa"/>
        </w:tblCellMar>
      </w:tblPr>
      <w:tblGrid>
        <w:gridCol w:w="1205"/>
        <w:gridCol w:w="60"/>
        <w:gridCol w:w="753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53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7595" w:type="dxa"/>
            <w:gridSpan w:val="2"/>
            <w:tcBorders/>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35" w:type="dxa"/>
            <w:tcBorders/>
            <w:shd w:fill="CCEEFF" w:val="clear"/>
            <w:tcMar>
              <w:bottom w:w="0" w:type="dxa"/>
            </w:tcMar>
            <w:vAlign w:val="center"/>
          </w:tcPr>
          <w:p>
            <w:pPr>
              <w:pStyle w:val="TableContents"/>
              <w:bidi w:val="0"/>
              <w:spacing w:before="0" w:after="283"/>
              <w:jc w:val="left"/>
              <w:rPr/>
            </w:pPr>
            <w:hyperlink w:anchor="ea026361701ex99-1_getty.htm">
              <w:r>
                <w:rPr>
                  <w:rStyle w:val="InternetLink"/>
                </w:rPr>
                <w:t>Press Release issued by Getty Images Holdings, Inc., dated November 3, 2025.</w:t>
              </w:r>
            </w:hyperlink>
          </w:p>
        </w:tc>
      </w:tr>
      <w:tr>
        <w:trPr/>
        <w:tc>
          <w:tcPr>
            <w:tcW w:w="1205"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35" w:type="dxa"/>
            <w:tcBorders/>
            <w:shd w:fill="FFFFFF" w:val="clear"/>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document,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document relate to, among other things, obtaining applicable regulatory approvals on a timely basis or otherwise.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 shutterstock.com or by contacting Shutterstock’s Investor Relations department by email at IR@Shutterstock.com.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2450"/>
        <w:gridCol w:w="710"/>
        <w:gridCol w:w="4325"/>
      </w:tblGrid>
      <w:tr>
        <w:trPr/>
        <w:tc>
          <w:tcPr>
            <w:tcW w:w="2450" w:type="dxa"/>
            <w:tcBorders/>
            <w:vAlign w:val="center"/>
          </w:tcPr>
          <w:p>
            <w:pPr>
              <w:pStyle w:val="TableContents"/>
              <w:bidi w:val="0"/>
              <w:spacing w:before="0" w:after="283"/>
              <w:jc w:val="left"/>
              <w:rPr/>
            </w:pPr>
            <w:r>
              <w:rPr/>
              <w:t> </w:t>
            </w:r>
          </w:p>
        </w:tc>
        <w:tc>
          <w:tcPr>
            <w:tcW w:w="5035" w:type="dxa"/>
            <w:gridSpan w:val="2"/>
            <w:tcBorders/>
            <w:vAlign w:val="center"/>
          </w:tcPr>
          <w:p>
            <w:pPr>
              <w:pStyle w:val="TableContents"/>
              <w:bidi w:val="0"/>
              <w:spacing w:before="0" w:after="283"/>
              <w:jc w:val="left"/>
              <w:rPr>
                <w:b/>
              </w:rPr>
            </w:pPr>
            <w:r>
              <w:rPr>
                <w:b/>
              </w:rPr>
              <w:t>GETTY IMAGES HOLDINGS, INC.</w:t>
            </w:r>
          </w:p>
        </w:tc>
      </w:tr>
      <w:tr>
        <w:trPr/>
        <w:tc>
          <w:tcPr>
            <w:tcW w:w="24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Date:  November 3, 2025</w:t>
            </w:r>
          </w:p>
        </w:tc>
        <w:tc>
          <w:tcPr>
            <w:tcW w:w="710" w:type="dxa"/>
            <w:tcBorders/>
            <w:vAlign w:val="center"/>
          </w:tcPr>
          <w:p>
            <w:pPr>
              <w:pStyle w:val="TableContents"/>
              <w:bidi w:val="0"/>
              <w:spacing w:before="0" w:after="283"/>
              <w:jc w:val="left"/>
              <w:rPr/>
            </w:pPr>
            <w:r>
              <w:rPr/>
              <w:t>By:</w:t>
            </w:r>
          </w:p>
        </w:tc>
        <w:tc>
          <w:tcPr>
            <w:tcW w:w="4325" w:type="dxa"/>
            <w:tcBorders>
              <w:bottom w:val="single" w:sz="12" w:space="0" w:color="000000"/>
            </w:tcBorders>
            <w:tcMar>
              <w:bottom w:w="28" w:type="dxa"/>
            </w:tcMar>
            <w:vAlign w:val="center"/>
          </w:tcPr>
          <w:p>
            <w:pPr>
              <w:pStyle w:val="TableContents"/>
              <w:bidi w:val="0"/>
              <w:spacing w:before="0" w:after="283"/>
              <w:jc w:val="left"/>
              <w:rPr/>
            </w:pPr>
            <w:r>
              <w:rPr/>
              <w:t>/s/ Kjelti Kellough</w:t>
            </w:r>
          </w:p>
        </w:tc>
      </w:tr>
      <w:tr>
        <w:trPr/>
        <w:tc>
          <w:tcPr>
            <w:tcW w:w="24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4325" w:type="dxa"/>
            <w:tcBorders/>
            <w:vAlign w:val="center"/>
          </w:tcPr>
          <w:p>
            <w:pPr>
              <w:pStyle w:val="TableContents"/>
              <w:bidi w:val="0"/>
              <w:spacing w:before="0" w:after="283"/>
              <w:jc w:val="left"/>
              <w:rPr/>
            </w:pPr>
            <w:r>
              <w:rPr/>
              <w:t>Kjelti Kellough</w:t>
            </w:r>
          </w:p>
        </w:tc>
      </w:tr>
      <w:tr>
        <w:trPr/>
        <w:tc>
          <w:tcPr>
            <w:tcW w:w="24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325" w:type="dxa"/>
            <w:tcBorders/>
            <w:vAlign w:val="center"/>
          </w:tcPr>
          <w:p>
            <w:pPr>
              <w:pStyle w:val="TableContents"/>
              <w:bidi w:val="0"/>
              <w:spacing w:before="0" w:after="283"/>
              <w:jc w:val="left"/>
              <w:rPr/>
            </w:pPr>
            <w:r>
              <w:rPr/>
              <w:t xml:space="preserve">Senior Vice President, General Counsel, and </w:t>
              <w:br/>
              <w:t>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26361701ex99-1_getty.htm"/>
      <w:bookmarkStart w:id="3" w:name="ksea026361701ex991_getty"/>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6384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Competition and Markets Authority Refers Proposed Merger of Getty Images and Shutterstock for Phase 2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Nov. 03, 2025 (GLOBE NEWSWIRE) -- Getty Images Holdings, Inc. (NYSE: GETY) (“Getty Images”) today received notice from the UK’s Competition and Markets Authority (“CMA”) that the CMA has referred the proposed merger of Getty Images and Shutterstock Inc. (“Shutterstock”) to a Phase 2 review process. Getty Images offered comprehensive remedies to avoid a Phase 2 review and is disappointed at the CMA’s decision but remains committed to the proposed merger and will continue to engage with the CMA and work with Shutterstock to expeditiously secure the necessary clearances.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Getty Images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Getty Images (NYSE: GETY) is a preeminent global visual content creator and marketplace that offers a full range of content solutions to meet the needs of any customer around the globe, no matter their size. Through its Getty Images, iStock and Unsplash brands, websites and APIs, Getty Images serves customers in almost every country in the world and is the first-place people turn to discover, purchase and share powerful visual content from the world’s best photographers and videographers. Getty Images works with almost 600,000 content creators and more than 355 content partners to deliver this powerful and comprehensive content. Each year Getty Images covers more than 160,000 news, sport and entertainment events providing depth and breadth of coverage that is unmatched. Getty Images maintains one of the largest and best privately-owned photographic archives in the world with millions of images dating back to the beginning of photography.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best-in-class creative library and Custom Content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Getty Images and iStock customers can use text to image generation to ideate and create commercially safe compelling visuals, further expanding Getty Images capabilities to deliver exactly what customers are looking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company news and announcements, visit our Newsroom.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press release,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approvals on a timely basis or otherwise. A more fulsome discussion of the risks related to the proposed transaction has been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the Merger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on March 31, 2025, Getty Images filed with the Securities and Exchange Commission (the “SEC”) a preliminary registration statement on Form S-4 that includes an information statement of Getty Images and a proxy statement of Shutterstock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investor.shutterstock.com or by contacting Shutterstock’s Investor Relations department by email at IR@Shutterstock.com.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2434</Words>
  <Characters>14170</Characters>
  <CharactersWithSpaces>16619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