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493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49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Saunders Andrew James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GETTY IMAGES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605 5TH AVENUE SOUTH, SUITE 400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SEATLLE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98104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Getty Images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GETY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06/20/2023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Senior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06/20/2023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39,179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125,242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06/20/2023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18,414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5.11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106,828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3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4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units (RSUs) granted on June 20, 2023, pursuant to the Issuer's Earn Out Plan. Each restricted stock unit represents a contingent right to receive one share of the Issuer's Class A Common Stock. The RSUs vested immediately upon grant.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withheld by the Issuer to satisfy tax withholding obligations on the vesting and settlement of RSUs.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Kjelti Kellough,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-13970</wp:posOffset>
            </wp:positionV>
            <wp:extent cx="9798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8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Andrew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06/22/2023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19043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Saunders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4089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  <w:tab/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39281" TargetMode="External"/><Relationship Id="rId13" Type="http://schemas.openxmlformats.org/officeDocument/2006/relationships/hyperlink" Target="http://www.sec.gov/cgi-bin/browse-edgar?action=getcompany&amp;CIK=00018984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2023-06-22T16:38:21Z</dcterms:created>
  <dcterms:modified xsi:type="dcterms:W3CDTF">2023-06-22T16:38:21Z</dcterms:modified>
</cp:coreProperties>
</file>