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Getty Images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16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80"/>
        </w:trPr>
        <w:tc>
          <w:tcPr>
            <w:tcW w:w="222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340" w:type="dxa"/>
            <w:vAlign w:val="bottom"/>
          </w:tcPr>
          <w:p>
            <w:pPr>
              <w:ind w:left="206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ind w:left="42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incorporation)</w:t>
            </w:r>
          </w:p>
        </w:tc>
        <w:tc>
          <w:tcPr>
            <w:tcW w:w="5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5"/>
        </w:trPr>
        <w:tc>
          <w:tcPr>
            <w:tcW w:w="222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605 5th Ave S. Suite 400</w:t>
            </w:r>
          </w:p>
        </w:tc>
        <w:tc>
          <w:tcPr>
            <w:tcW w:w="1660" w:type="dxa"/>
            <w:vAlign w:val="bottom"/>
          </w:tcPr>
          <w:p>
            <w:pPr>
              <w:spacing w:after="0"/>
              <w:rPr>
                <w:sz w:val="24"/>
                <w:szCs w:val="24"/>
                <w:color w:val="auto"/>
              </w:rPr>
            </w:pPr>
          </w:p>
        </w:tc>
      </w:tr>
      <w:tr>
        <w:trPr>
          <w:trHeight w:val="220"/>
        </w:trPr>
        <w:tc>
          <w:tcPr>
            <w:tcW w:w="2220" w:type="dxa"/>
            <w:vAlign w:val="bottom"/>
          </w:tcPr>
          <w:p>
            <w:pPr>
              <w:spacing w:after="0"/>
              <w:rPr>
                <w:sz w:val="19"/>
                <w:szCs w:val="19"/>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Seattle, WA 98104</w:t>
            </w:r>
          </w:p>
        </w:tc>
        <w:tc>
          <w:tcPr>
            <w:tcW w:w="1660" w:type="dxa"/>
            <w:vAlign w:val="bottom"/>
          </w:tcPr>
          <w:p>
            <w:pPr>
              <w:spacing w:after="0"/>
              <w:rPr>
                <w:sz w:val="19"/>
                <w:szCs w:val="19"/>
                <w:color w:val="auto"/>
              </w:rPr>
            </w:pPr>
          </w:p>
        </w:tc>
      </w:tr>
      <w:tr>
        <w:trPr>
          <w:trHeight w:val="234"/>
        </w:trPr>
        <w:tc>
          <w:tcPr>
            <w:tcW w:w="222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(Address of Principal Executive Offices, including Zip Code)</w:t>
            </w:r>
          </w:p>
        </w:tc>
        <w:tc>
          <w:tcPr>
            <w:tcW w:w="1660" w:type="dxa"/>
            <w:vAlign w:val="bottom"/>
          </w:tcPr>
          <w:p>
            <w:pPr>
              <w:spacing w:after="0"/>
              <w:rPr>
                <w:sz w:val="20"/>
                <w:szCs w:val="20"/>
                <w:color w:val="auto"/>
              </w:rPr>
            </w:pPr>
          </w:p>
        </w:tc>
      </w:tr>
      <w:tr>
        <w:trPr>
          <w:trHeight w:val="351"/>
        </w:trPr>
        <w:tc>
          <w:tcPr>
            <w:tcW w:w="222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(206) 925-5000</w:t>
            </w:r>
          </w:p>
        </w:tc>
        <w:tc>
          <w:tcPr>
            <w:tcW w:w="1660" w:type="dxa"/>
            <w:vAlign w:val="bottom"/>
          </w:tcPr>
          <w:p>
            <w:pPr>
              <w:spacing w:after="0"/>
              <w:rPr>
                <w:sz w:val="24"/>
                <w:szCs w:val="24"/>
                <w:color w:val="auto"/>
              </w:rPr>
            </w:pPr>
          </w:p>
        </w:tc>
      </w:tr>
      <w:tr>
        <w:trPr>
          <w:trHeight w:val="346"/>
        </w:trPr>
        <w:tc>
          <w:tcPr>
            <w:tcW w:w="2220" w:type="dxa"/>
            <w:vAlign w:val="bottom"/>
          </w:tcPr>
          <w:p>
            <w:pPr>
              <w:spacing w:after="0"/>
              <w:rPr>
                <w:sz w:val="24"/>
                <w:szCs w:val="24"/>
                <w:color w:val="auto"/>
              </w:rPr>
            </w:pPr>
          </w:p>
        </w:tc>
        <w:tc>
          <w:tcPr>
            <w:tcW w:w="5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60" w:type="dxa"/>
            <w:vAlign w:val="bottom"/>
          </w:tcPr>
          <w:p>
            <w:pPr>
              <w:spacing w:after="0"/>
              <w:rPr>
                <w:sz w:val="24"/>
                <w:szCs w:val="24"/>
                <w:color w:val="auto"/>
              </w:rPr>
            </w:pPr>
          </w:p>
        </w:tc>
      </w:tr>
      <w:tr>
        <w:trPr>
          <w:trHeight w:val="234"/>
        </w:trPr>
        <w:tc>
          <w:tcPr>
            <w:tcW w:w="2220" w:type="dxa"/>
            <w:vAlign w:val="bottom"/>
          </w:tcPr>
          <w:p>
            <w:pPr>
              <w:spacing w:after="0"/>
              <w:rPr>
                <w:sz w:val="20"/>
                <w:szCs w:val="20"/>
                <w:color w:val="auto"/>
              </w:rPr>
            </w:pPr>
          </w:p>
        </w:tc>
        <w:tc>
          <w:tcPr>
            <w:tcW w:w="53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38"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80" w:type="dxa"/>
            <w:vAlign w:val="bottom"/>
            <w:gridSpan w:val="3"/>
            <w:vMerge w:val="restart"/>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43"/>
        </w:trPr>
        <w:tc>
          <w:tcPr>
            <w:tcW w:w="4680" w:type="dxa"/>
            <w:vAlign w:val="bottom"/>
            <w:gridSpan w:val="3"/>
            <w:vMerge w:val="continue"/>
          </w:tcPr>
          <w:p>
            <w:pPr>
              <w:spacing w:after="0"/>
              <w:rPr>
                <w:sz w:val="21"/>
                <w:szCs w:val="21"/>
                <w:color w:val="auto"/>
              </w:rPr>
            </w:pP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GETY</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4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0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212529"/>
        </w:rPr>
        <w:t xml:space="preserve">On </w:t>
      </w:r>
      <w:r>
        <w:rPr>
          <w:rFonts w:ascii="Times New Roman" w:cs="Times New Roman" w:eastAsia="Times New Roman" w:hAnsi="Times New Roman"/>
          <w:sz w:val="18"/>
          <w:szCs w:val="18"/>
          <w:color w:val="000000"/>
        </w:rPr>
        <w:t>May 11, 2026</w:t>
      </w:r>
      <w:r>
        <w:rPr>
          <w:rFonts w:ascii="Times New Roman" w:cs="Times New Roman" w:eastAsia="Times New Roman" w:hAnsi="Times New Roman"/>
          <w:sz w:val="18"/>
          <w:szCs w:val="18"/>
          <w:color w:val="212529"/>
        </w:rPr>
        <w:t xml:space="preserve">, Getty Images Holdings, Inc. issued a press release announcing its financial results for the quarter ended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12529"/>
        </w:rPr>
        <w:t>. A copy of the press release is furnished as Exhibit 99.1 to this report and is incorporated by reference in this Item 2.02.</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212529"/>
        </w:rPr>
        <w:t>The information contained in Item 2.02 of this Current Report on Form 8-K (including Exhibit 99.1) is being furnished and shall not be deemed “filed” for the purposes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3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2" w:lineRule="exact"/>
        <w:rPr>
          <w:sz w:val="20"/>
          <w:szCs w:val="20"/>
          <w:color w:val="auto"/>
        </w:rPr>
      </w:pPr>
    </w:p>
    <w:p>
      <w:pPr>
        <w:ind w:left="560" w:hanging="552"/>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520" w:type="dxa"/>
            <w:vAlign w:val="bottom"/>
          </w:tcPr>
          <w:p>
            <w:pPr>
              <w:spacing w:after="0"/>
              <w:rPr>
                <w:sz w:val="20"/>
                <w:szCs w:val="20"/>
                <w:color w:val="auto"/>
              </w:rPr>
            </w:pPr>
          </w:p>
        </w:tc>
        <w:tc>
          <w:tcPr>
            <w:tcW w:w="746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59"/>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12, 2026</w:t>
            </w:r>
          </w:p>
        </w:tc>
      </w:tr>
      <w:tr>
        <w:trPr>
          <w:trHeight w:val="20"/>
        </w:trPr>
        <w:tc>
          <w:tcPr>
            <w:tcW w:w="126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12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212529"/>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12529"/>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79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212529"/>
              </w:rPr>
              <w:t>Getty Images Holdings, Inc.</w:t>
            </w:r>
          </w:p>
        </w:tc>
      </w:tr>
      <w:tr>
        <w:trPr>
          <w:trHeight w:val="520"/>
        </w:trPr>
        <w:tc>
          <w:tcPr>
            <w:tcW w:w="3320" w:type="dxa"/>
            <w:vAlign w:val="bottom"/>
          </w:tcPr>
          <w:p>
            <w:pPr>
              <w:spacing w:after="0"/>
              <w:rPr>
                <w:sz w:val="24"/>
                <w:szCs w:val="24"/>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212529"/>
              </w:rPr>
              <w:t>/s/ Kjelti Kellough</w:t>
            </w:r>
          </w:p>
        </w:tc>
      </w:tr>
      <w:tr>
        <w:trPr>
          <w:trHeight w:val="243"/>
        </w:trPr>
        <w:tc>
          <w:tcPr>
            <w:tcW w:w="3320" w:type="dxa"/>
            <w:vAlign w:val="bottom"/>
          </w:tcPr>
          <w:p>
            <w:pPr>
              <w:spacing w:after="0"/>
              <w:rPr>
                <w:sz w:val="21"/>
                <w:szCs w:val="21"/>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Kjelti Kellough</w:t>
            </w:r>
          </w:p>
        </w:tc>
      </w:tr>
      <w:tr>
        <w:trPr>
          <w:trHeight w:val="257"/>
        </w:trPr>
        <w:tc>
          <w:tcPr>
            <w:tcW w:w="3320" w:type="dxa"/>
            <w:vAlign w:val="bottom"/>
          </w:tcPr>
          <w:p>
            <w:pPr>
              <w:spacing w:after="0"/>
              <w:rPr>
                <w:sz w:val="22"/>
                <w:szCs w:val="22"/>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Senior Vice President, General Counsel, and Corporate Secretary</w:t>
            </w:r>
          </w:p>
        </w:tc>
      </w:tr>
    </w:tbl>
    <w:p>
      <w:pPr>
        <w:sectPr>
          <w:pgSz w:w="11900" w:h="16838" w:orient="portrait"/>
          <w:cols w:equalWidth="0" w:num="1">
            <w:col w:w="11240"/>
          </w:cols>
          <w:pgMar w:left="320" w:top="1103" w:right="339" w:bottom="1440" w:gutter="0" w:footer="0" w:header="0"/>
        </w:sectPr>
      </w:pPr>
    </w:p>
    <w:bookmarkStart w:id="3" w:name="page4"/>
    <w:bookmarkEnd w:id="3"/>
    <w:p>
      <w:pPr>
        <w:spacing w:after="0" w:line="1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0"/>
          <w:szCs w:val="20"/>
          <w:b w:val="1"/>
          <w:bCs w:val="1"/>
          <w:color w:val="auto"/>
        </w:rPr>
        <w:t>Getty Images Reports First Quarter 2026 Results</w:t>
      </w:r>
    </w:p>
    <w:p>
      <w:pPr>
        <w:spacing w:after="0" w:line="103" w:lineRule="exact"/>
        <w:rPr>
          <w:sz w:val="20"/>
          <w:szCs w:val="20"/>
          <w:color w:val="auto"/>
        </w:rPr>
      </w:pPr>
    </w:p>
    <w:p>
      <w:pPr>
        <w:ind w:left="1860" w:hanging="313"/>
        <w:spacing w:after="0"/>
        <w:tabs>
          <w:tab w:leader="none" w:pos="1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revenue rose to 57.4% of total revenue in Q1</w:t>
      </w:r>
    </w:p>
    <w:p>
      <w:pPr>
        <w:spacing w:after="0" w:line="15" w:lineRule="exact"/>
        <w:rPr>
          <w:rFonts w:ascii="Times New Roman" w:cs="Times New Roman" w:eastAsia="Times New Roman" w:hAnsi="Times New Roman"/>
          <w:sz w:val="18"/>
          <w:szCs w:val="18"/>
          <w:color w:val="auto"/>
        </w:rPr>
      </w:pPr>
    </w:p>
    <w:p>
      <w:pPr>
        <w:ind w:left="1860" w:hanging="313"/>
        <w:spacing w:after="0" w:line="234" w:lineRule="auto"/>
        <w:tabs>
          <w:tab w:leader="none" w:pos="1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now over 60% of total revenue, continues to grow, up nearly 6% year over year</w:t>
      </w:r>
    </w:p>
    <w:p>
      <w:pPr>
        <w:ind w:left="1860" w:hanging="313"/>
        <w:spacing w:after="0"/>
        <w:tabs>
          <w:tab w:leader="none" w:pos="1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maintains full-year 2026 revenue and adjusted EBITDA guidance</w:t>
      </w:r>
    </w:p>
    <w:p>
      <w:pPr>
        <w:spacing w:after="0" w:line="2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York, NY, May 11, 2026 – Getty Images Holdings, Inc. (“Getty Images” or the “Company”) (NYSE: GETY), a preeminent global visual content creator and marketplace, today reported financial results for the first quarter ended March 31, 2026.</w:t>
      </w:r>
    </w:p>
    <w:p>
      <w:pPr>
        <w:spacing w:after="0" w:line="202"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"The first quarter reflected the dynamic market environment we are operating in,” said Craig Peters, Chief Executive Officer of Getty Images. “While certain areas remain challenged, most notably Agency and microstock, the vast majority of our business continues to see growth and opportunity, supported by strong customer renewals,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quality content and coverage, and the value we provide to our customers. I remain excited about what lies ahead as our unique foundational pillars — our content and coverage, the expertise of our teams, the commitment of our customers, and the strength of our brands — position us to grow with existing customers and reach new markets."</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 with navigating some headwinds in Q1, we continue to expect our financial results to be within our previously stated full year guidance—as we focus on driving to our core strengths, optimizing returns and maintaining financial flexibility," said Jenn Leyden, Chief Financial Officer of Getty Images.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Summary:</w:t>
      </w:r>
    </w:p>
    <w:p>
      <w:pPr>
        <w:spacing w:after="0" w:line="135"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Revenue of $226.6 million increased 1.1% year over year and decreased 2.5% on a currency neutral basis.</w:t>
      </w:r>
    </w:p>
    <w:p>
      <w:pPr>
        <w:spacing w:after="0" w:line="6" w:lineRule="exact"/>
        <w:rPr>
          <w:rFonts w:ascii="Times New Roman" w:cs="Times New Roman" w:eastAsia="Times New Roman" w:hAnsi="Times New Roman"/>
          <w:sz w:val="20"/>
          <w:szCs w:val="20"/>
          <w:color w:val="auto"/>
        </w:rPr>
      </w:pPr>
    </w:p>
    <w:p>
      <w:pPr>
        <w:ind w:left="1300" w:hanging="320"/>
        <w:spacing w:after="0" w:line="234"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Creative revenue of $126.2 million, down 4.5% year over year and 8.0% on a currency neutral basis.</w:t>
      </w:r>
    </w:p>
    <w:p>
      <w:pPr>
        <w:ind w:left="1300" w:hanging="320"/>
        <w:spacing w:after="0" w:line="234"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Editorial revenue of $91.7 million, up 11.0% year over year and 7.1% on a currency neutral basis.</w:t>
      </w: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of $8.6 million, down $0.7 million from $9.3 million in Q1'25.</w:t>
      </w:r>
    </w:p>
    <w:p>
      <w:pPr>
        <w:spacing w:after="0" w:line="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Revenue grew to 57.4% of total revenue, up from 57.2% in Q1’25.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$4.4 million, compared to a Net Loss of $102.6 million in Q1’25. Primary drivers of the year-on-year improvement include:</w:t>
      </w:r>
    </w:p>
    <w:p>
      <w:pPr>
        <w:spacing w:after="0" w:line="22" w:lineRule="exact"/>
        <w:rPr>
          <w:rFonts w:ascii="Times New Roman" w:cs="Times New Roman" w:eastAsia="Times New Roman" w:hAnsi="Times New Roman"/>
          <w:sz w:val="18"/>
          <w:szCs w:val="18"/>
          <w:color w:val="auto"/>
        </w:rPr>
      </w:pPr>
    </w:p>
    <w:p>
      <w:pPr>
        <w:ind w:left="1300" w:right="20" w:hanging="320"/>
        <w:spacing w:after="0" w:line="258" w:lineRule="auto"/>
        <w:tabs>
          <w:tab w:leader="none" w:pos="129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$62.0 million decrease in tax expense primarily due to nondeductible interest, changes in valuation allowance and significantly larger book loss in the first quarter 2025,</w:t>
      </w: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 million improvement in foreign exchange gain primarily due to revaluation of the Euro Term Loan,</w:t>
      </w:r>
    </w:p>
    <w:p>
      <w:pPr>
        <w:spacing w:after="0" w:line="2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million increase in Other non-operating income driven by interest income earned on merger-related funds held in escrow,</w:t>
      </w:r>
    </w:p>
    <w:p>
      <w:pPr>
        <w:spacing w:after="0" w:line="2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decrease in loss on extinguishment of debt tied to the Q1’25 Term Loan refinancing,</w:t>
      </w:r>
    </w:p>
    <w:p>
      <w:pPr>
        <w:spacing w:after="0" w:line="22" w:lineRule="exact"/>
        <w:rPr>
          <w:rFonts w:ascii="Times New Roman" w:cs="Times New Roman" w:eastAsia="Times New Roman" w:hAnsi="Times New Roman"/>
          <w:sz w:val="18"/>
          <w:szCs w:val="18"/>
          <w:color w:val="auto"/>
        </w:rPr>
      </w:pPr>
    </w:p>
    <w:p>
      <w:pPr>
        <w:ind w:left="1300" w:hanging="320"/>
        <w:spacing w:after="0" w:line="258" w:lineRule="auto"/>
        <w:tabs>
          <w:tab w:leader="none" w:pos="129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million increase in income from operations primarily due to a $14.8 million year-on-year decrease in merger related expenses in Q1’26, and</w:t>
      </w:r>
    </w:p>
    <w:p>
      <w:pPr>
        <w:ind w:left="1300" w:hanging="320"/>
        <w:spacing w:after="0" w:line="258" w:lineRule="auto"/>
        <w:tabs>
          <w:tab w:leader="none" w:pos="129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 million increase in interest expense primarily due to the higher rates following the 2025 refinancing transactions and the incremental debt raised in 2025 in connection with the planned merger.</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Margin for Q1’26 was 2.0% compared to Net Loss Margin of 45.8% in Q1’25.</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non-GAAP basis, adjusted Net Loss* was $6.5 million, as compared to $58.3 million adjusted Net Loss* in the prior year.</w:t>
      </w:r>
    </w:p>
    <w:p>
      <w:pPr>
        <w:spacing w:after="0" w:line="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$61.6 million, down 12.2% year over year and 15.2% on a currency neutral basis.</w:t>
      </w:r>
    </w:p>
    <w:p>
      <w:pPr>
        <w:spacing w:after="0" w:line="22" w:lineRule="exact"/>
        <w:rPr>
          <w:rFonts w:ascii="Times New Roman" w:cs="Times New Roman" w:eastAsia="Times New Roman" w:hAnsi="Times New Roman"/>
          <w:sz w:val="18"/>
          <w:szCs w:val="18"/>
          <w:color w:val="auto"/>
        </w:rPr>
      </w:pPr>
    </w:p>
    <w:p>
      <w:pPr>
        <w:jc w:val="both"/>
        <w:ind w:left="660" w:hanging="328"/>
        <w:spacing w:after="0" w:line="26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 was 27.2% for Q1’26 compared to 31.3% in the prior year period. The decrease in rate was primarily due to a combination of higher cost of revenue driven by revenue mix and revenue recognition impacts, as well as some higher costs tied to our Winter Olympics coverage. The Company expects cost of revenue and SG&amp;A rates to normalize over the balance of the year, with adjusted EBITDA margins expected to return to the typical 30% range.</w:t>
      </w:r>
    </w:p>
    <w:p>
      <w:pPr>
        <w:sectPr>
          <w:pgSz w:w="11900" w:h="16838" w:orient="portrait"/>
          <w:cols w:equalWidth="0" w:num="1">
            <w:col w:w="11240"/>
          </w:cols>
          <w:pgMar w:left="320" w:top="1440" w:right="339" w:bottom="1440" w:gutter="0" w:footer="0" w:header="0"/>
        </w:sectPr>
      </w:pPr>
    </w:p>
    <w:bookmarkStart w:id="4" w:name="page5"/>
    <w:bookmarkEnd w:id="4"/>
    <w:p>
      <w:pPr>
        <w:spacing w:after="0" w:line="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less capex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was $45.5 million, down 16.3% year over year and 19.4% on a currency neutral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Balance Sheet:</w:t>
      </w:r>
    </w:p>
    <w:p>
      <w:pPr>
        <w:spacing w:after="0" w:line="135" w:lineRule="exact"/>
        <w:rPr>
          <w:sz w:val="20"/>
          <w:szCs w:val="20"/>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of $40.0 million in Q1’26, compared to $15.4 million in the prior year period.</w:t>
      </w:r>
    </w:p>
    <w:p>
      <w:pPr>
        <w:spacing w:after="0" w:line="32"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of $24.0 million in Q1’26, compared to $(0.3) million in the prior year period, with the improvement primarily driven by a decrease in cash interest expense and merger cost outflows, and changes in working capital.</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Ending cash balance was $96.6 million, up $6.5 million from December 31, 2025 and down $18.0 million from March 31, 2025.</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debt was $2.0 billion, which included $1.2 billion in Senior Secured Notes, Term Loan balance of $521.0 million, consisting of $40.1 million in USD and $480.9 million in USD equivalent of Euros, converted using exchange rates as of March 31, 2026, and $300.0 million of Senior Unsecured Notes. The Company had $150.0 million available through its revolving credit facility, which remained undrawn as of March 31, 2026, for total available liquidity of $246.6 million.</w:t>
      </w:r>
    </w:p>
    <w:p>
      <w:pPr>
        <w:jc w:val="both"/>
        <w:ind w:left="660" w:hanging="328"/>
        <w:spacing w:after="0" w:line="266" w:lineRule="auto"/>
        <w:tabs>
          <w:tab w:leader="none" w:pos="6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2026, the United States Court of Appeals for the Second Circuit denied the Company’s petition for rehearing in connection with the Alta and CRCM warrant litigation. On April 23, 2026, the Company paid $110.9 million in judgment and associated interest related to this matter. This matter had been fully reserved for in prior periods. The Company drew $120.0 million from its revolving credit facility on April 22, 2026, the proceeds of which were used in part to pay the judgment.</w:t>
      </w:r>
    </w:p>
    <w:p>
      <w:pPr>
        <w:jc w:val="both"/>
        <w:ind w:left="660" w:hanging="328"/>
        <w:spacing w:after="0" w:line="231" w:lineRule="exact"/>
        <w:tabs>
          <w:tab w:leader="none" w:pos="65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the Company had $33.7 million of insurance recovery receivable related to the warrant litigation, representing receivables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insurance carriers for these legal claims. Subsequent to March 31, 2026, $30.0 million has been received from insurance carriers and the remainder is available to the Company.</w:t>
      </w:r>
    </w:p>
    <w:p>
      <w:pPr>
        <w:spacing w:after="0" w:line="249" w:lineRule="exact"/>
        <w:rPr>
          <w:rFonts w:ascii="Times New Roman" w:cs="Times New Roman" w:eastAsia="Times New Roman" w:hAnsi="Times New Roman"/>
          <w:sz w:val="18"/>
          <w:szCs w:val="18"/>
          <w:color w:val="auto"/>
        </w:rPr>
      </w:pPr>
    </w:p>
    <w:p>
      <w:pPr>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 Non-GAAP Net Income (Loss), Adjusted EBITDA, Adjusted EBITDA Margin, Adjusted EBITDA less capex, and Free Cash Flow are non-GAAP financial measures. Refer to the Reconciliation of GAAP and Non-GAAP Financial Measures section below.</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F5496"/>
        </w:rPr>
        <w:t>Key Performance Indicators (KPIs)</w:t>
      </w:r>
    </w:p>
    <w:p>
      <w:pPr>
        <w:spacing w:after="0" w:line="3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Our KPIs outlined below are the metrics that provide management with the most immediate understanding of the drivers of business performance and our ability to deliver shareholder return, track to financial targets and prioritize customer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168910</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0" w:type="dxa"/>
            <w:vAlign w:val="bottom"/>
            <w:gridSpan w:val="6"/>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8"/>
              </w:rPr>
              <w:t>Last Twelve Months Ended March 31,</w:t>
            </w:r>
          </w:p>
        </w:tc>
      </w:tr>
      <w:tr>
        <w:trPr>
          <w:trHeight w:val="40"/>
        </w:trPr>
        <w:tc>
          <w:tcPr>
            <w:tcW w:w="59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7"/>
        </w:trPr>
        <w:tc>
          <w:tcPr>
            <w:tcW w:w="7040" w:type="dxa"/>
            <w:vAlign w:val="bottom"/>
            <w:gridSpan w:val="2"/>
          </w:tcPr>
          <w:p>
            <w:pPr>
              <w:ind w:left="66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Increase / (Decrease)</w:t>
            </w:r>
          </w:p>
        </w:tc>
      </w:tr>
      <w:tr>
        <w:trPr>
          <w:trHeight w:val="40"/>
        </w:trPr>
        <w:tc>
          <w:tcPr>
            <w:tcW w:w="59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77"/>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LTM total purchasing customers (thousands)</w:t>
            </w:r>
            <w:r>
              <w:rPr>
                <w:rFonts w:ascii="Times New Roman" w:cs="Times New Roman" w:eastAsia="Times New Roman" w:hAnsi="Times New Roman"/>
                <w:sz w:val="23"/>
                <w:szCs w:val="23"/>
                <w:b w:val="1"/>
                <w:bCs w:val="1"/>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8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LTM total active annual subscribers (thousands)</w:t>
            </w:r>
            <w:r>
              <w:rPr>
                <w:rFonts w:ascii="Times New Roman" w:cs="Times New Roman" w:eastAsia="Times New Roman" w:hAnsi="Times New Roman"/>
                <w:sz w:val="23"/>
                <w:szCs w:val="23"/>
                <w:b w:val="1"/>
                <w:bCs w:val="1"/>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84"/>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LTM paid download volume (millions)</w:t>
            </w:r>
            <w:r>
              <w:rPr>
                <w:rFonts w:ascii="Times New Roman" w:cs="Times New Roman" w:eastAsia="Times New Roman" w:hAnsi="Times New Roman"/>
                <w:sz w:val="23"/>
                <w:szCs w:val="23"/>
                <w:b w:val="1"/>
                <w:bCs w:val="1"/>
                <w:color w:val="auto"/>
                <w:vertAlign w:val="superscript"/>
              </w:rPr>
              <w:t>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8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LTM annual subscriber revenue retention rate</w:t>
            </w:r>
            <w:r>
              <w:rPr>
                <w:rFonts w:ascii="Times New Roman" w:cs="Times New Roman" w:eastAsia="Times New Roman" w:hAnsi="Times New Roman"/>
                <w:sz w:val="23"/>
                <w:szCs w:val="23"/>
                <w:b w:val="1"/>
                <w:bCs w:val="1"/>
                <w:color w:val="auto"/>
                <w:vertAlign w:val="superscript"/>
              </w:rPr>
              <w:t>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92.7 %</w:t>
            </w:r>
          </w:p>
        </w:tc>
        <w:tc>
          <w:tcPr>
            <w:tcW w:w="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bps</w:t>
            </w:r>
          </w:p>
        </w:tc>
      </w:tr>
      <w:tr>
        <w:trPr>
          <w:trHeight w:val="283"/>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Image collection (millions)</w:t>
            </w:r>
            <w:r>
              <w:rPr>
                <w:rFonts w:ascii="Times New Roman" w:cs="Times New Roman" w:eastAsia="Times New Roman" w:hAnsi="Times New Roman"/>
                <w:sz w:val="23"/>
                <w:szCs w:val="23"/>
                <w:b w:val="1"/>
                <w:bCs w:val="1"/>
                <w:color w:val="auto"/>
                <w:vertAlign w:val="superscript"/>
              </w:rPr>
              <w:t>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84"/>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Video collection (millions) </w:t>
            </w:r>
            <w:r>
              <w:rPr>
                <w:rFonts w:ascii="Times New Roman" w:cs="Times New Roman" w:eastAsia="Times New Roman" w:hAnsi="Times New Roman"/>
                <w:sz w:val="23"/>
                <w:szCs w:val="23"/>
                <w:b w:val="1"/>
                <w:bCs w:val="1"/>
                <w:color w:val="auto"/>
                <w:vertAlign w:val="superscript"/>
              </w:rPr>
              <w:t>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83"/>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LTM video attachment rate</w:t>
            </w:r>
            <w:r>
              <w:rPr>
                <w:rFonts w:ascii="Times New Roman" w:cs="Times New Roman" w:eastAsia="Times New Roman" w:hAnsi="Times New Roman"/>
                <w:sz w:val="23"/>
                <w:szCs w:val="23"/>
                <w:b w:val="1"/>
                <w:bCs w:val="1"/>
                <w:color w:val="auto"/>
                <w:vertAlign w:val="superscript"/>
              </w:rPr>
              <w:t>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8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bps</w:t>
            </w: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Annual subscription - includes products and subscriptions with a duration of 12 months or longer, Unsplash API, and Custom Content.</w:t>
      </w:r>
    </w:p>
    <w:p>
      <w:pPr>
        <w:spacing w:after="0" w:line="191" w:lineRule="exact"/>
        <w:rPr>
          <w:sz w:val="20"/>
          <w:szCs w:val="20"/>
          <w:color w:val="auto"/>
        </w:rPr>
      </w:pPr>
    </w:p>
    <w:p>
      <w:pPr>
        <w:ind w:left="100" w:hanging="92"/>
        <w:spacing w:after="0"/>
        <w:tabs>
          <w:tab w:leader="none" w:pos="100" w:val="left"/>
        </w:tabs>
        <w:numPr>
          <w:ilvl w:val="0"/>
          <w:numId w:val="7"/>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6"/>
          <w:szCs w:val="16"/>
          <w:i w:val="1"/>
          <w:iCs w:val="1"/>
          <w:color w:val="auto"/>
        </w:rPr>
        <w:t>The count of total customers who made a purchase within the reporting period based on billed revenue.</w:t>
      </w:r>
    </w:p>
    <w:p>
      <w:pPr>
        <w:spacing w:after="0" w:line="183" w:lineRule="auto"/>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3"/>
          <w:szCs w:val="23"/>
          <w:i w:val="1"/>
          <w:iCs w:val="1"/>
          <w:color w:val="auto"/>
          <w:vertAlign w:val="superscript"/>
        </w:rPr>
        <w:t>2</w:t>
      </w:r>
      <w:r>
        <w:rPr>
          <w:rFonts w:ascii="Times New Roman" w:cs="Times New Roman" w:eastAsia="Times New Roman" w:hAnsi="Times New Roman"/>
          <w:sz w:val="16"/>
          <w:szCs w:val="16"/>
          <w:i w:val="1"/>
          <w:iCs w:val="1"/>
          <w:color w:val="auto"/>
        </w:rPr>
        <w:t xml:space="preserve"> The count of customers who were on an annual subscription product during the reporting period.</w:t>
      </w:r>
    </w:p>
    <w:p>
      <w:pPr>
        <w:spacing w:after="0" w:line="204" w:lineRule="auto"/>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3"/>
          <w:szCs w:val="23"/>
          <w:i w:val="1"/>
          <w:iCs w:val="1"/>
          <w:color w:val="auto"/>
          <w:vertAlign w:val="superscript"/>
        </w:rPr>
        <w:t>3</w:t>
      </w:r>
      <w:r>
        <w:rPr>
          <w:rFonts w:ascii="Times New Roman" w:cs="Times New Roman" w:eastAsia="Times New Roman" w:hAnsi="Times New Roman"/>
          <w:sz w:val="16"/>
          <w:szCs w:val="16"/>
          <w:i w:val="1"/>
          <w:iCs w:val="1"/>
          <w:color w:val="auto"/>
        </w:rPr>
        <w:t xml:space="preserve"> A count of the number of paid downloads by our customers in the reporting period. Excludes downloads from Editorial Subscriptions, Editorial feeds and certain API structured deals, including bulk unlimited deals. Excludes downloads related to an</w:t>
      </w:r>
    </w:p>
    <w:p>
      <w:pPr>
        <w:sectPr>
          <w:pgSz w:w="11900" w:h="16838" w:orient="portrait"/>
          <w:cols w:equalWidth="0" w:num="1">
            <w:col w:w="11240"/>
          </w:cols>
          <w:pgMar w:left="320" w:top="1440" w:right="339" w:bottom="1440" w:gutter="0" w:footer="0" w:header="0"/>
        </w:sectPr>
      </w:pPr>
    </w:p>
    <w:bookmarkStart w:id="5" w:name="page6"/>
    <w:bookmarkEnd w:id="5"/>
    <w:p>
      <w:pPr>
        <w:ind w:right="20"/>
        <w:spacing w:after="0" w:line="232" w:lineRule="auto"/>
        <w:rPr>
          <w:sz w:val="20"/>
          <w:szCs w:val="20"/>
          <w:color w:val="auto"/>
        </w:rPr>
      </w:pPr>
      <w:r>
        <w:rPr>
          <w:rFonts w:ascii="Times New Roman" w:cs="Times New Roman" w:eastAsia="Times New Roman" w:hAnsi="Times New Roman"/>
          <w:sz w:val="16"/>
          <w:szCs w:val="16"/>
          <w:i w:val="1"/>
          <w:iCs w:val="1"/>
          <w:color w:val="auto"/>
        </w:rPr>
        <w:t>agreement signed with Amazon, as the magnitude of the potential download volume over the deal term could result in significant fluctuations in this metric without corresponding impact to revenue in the same period.</w:t>
      </w:r>
    </w:p>
    <w:p>
      <w:pPr>
        <w:spacing w:after="0" w:line="9" w:lineRule="exact"/>
        <w:rPr>
          <w:sz w:val="20"/>
          <w:szCs w:val="20"/>
          <w:color w:val="auto"/>
        </w:rPr>
      </w:pPr>
    </w:p>
    <w:p>
      <w:pPr>
        <w:ind w:right="20" w:firstLine="8"/>
        <w:spacing w:after="0" w:line="205" w:lineRule="auto"/>
        <w:tabs>
          <w:tab w:leader="none" w:pos="124" w:val="left"/>
        </w:tabs>
        <w:numPr>
          <w:ilvl w:val="0"/>
          <w:numId w:val="8"/>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6"/>
          <w:szCs w:val="16"/>
          <w:i w:val="1"/>
          <w:iCs w:val="1"/>
          <w:color w:val="auto"/>
        </w:rPr>
        <w:t>This calculates retention of total revenue for customers on an annual subscription product, comparing the customer’s total billed revenue (inclusive of both annual subscription and non-annual subscription products) in the LTM period to the prior LTM period.</w:t>
      </w:r>
    </w:p>
    <w:p>
      <w:pPr>
        <w:spacing w:after="0" w:line="1" w:lineRule="exact"/>
        <w:rPr>
          <w:rFonts w:ascii="Times New Roman" w:cs="Times New Roman" w:eastAsia="Times New Roman" w:hAnsi="Times New Roman"/>
          <w:sz w:val="23"/>
          <w:szCs w:val="23"/>
          <w:i w:val="1"/>
          <w:iCs w:val="1"/>
          <w:color w:val="auto"/>
          <w:vertAlign w:val="superscript"/>
        </w:rPr>
      </w:pPr>
    </w:p>
    <w:p>
      <w:pPr>
        <w:spacing w:after="0" w:line="183" w:lineRule="auto"/>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0"/>
          <w:szCs w:val="20"/>
          <w:i w:val="1"/>
          <w:iCs w:val="1"/>
          <w:color w:val="auto"/>
          <w:vertAlign w:val="superscript"/>
        </w:rPr>
        <w:t>5</w:t>
      </w:r>
      <w:r>
        <w:rPr>
          <w:rFonts w:ascii="Times New Roman" w:cs="Times New Roman" w:eastAsia="Times New Roman" w:hAnsi="Times New Roman"/>
          <w:sz w:val="14"/>
          <w:szCs w:val="14"/>
          <w:i w:val="1"/>
          <w:iCs w:val="1"/>
          <w:color w:val="auto"/>
        </w:rPr>
        <w:t xml:space="preserve"> A count of the total images and videos in our content library as of the reporting date.</w:t>
      </w:r>
    </w:p>
    <w:p>
      <w:pPr>
        <w:spacing w:after="0"/>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23"/>
          <w:szCs w:val="23"/>
          <w:i w:val="1"/>
          <w:iCs w:val="1"/>
          <w:color w:val="auto"/>
          <w:vertAlign w:val="superscript"/>
        </w:rPr>
        <w:t>6</w:t>
      </w:r>
      <w:r>
        <w:rPr>
          <w:rFonts w:ascii="Times New Roman" w:cs="Times New Roman" w:eastAsia="Times New Roman" w:hAnsi="Times New Roman"/>
          <w:sz w:val="16"/>
          <w:szCs w:val="16"/>
          <w:i w:val="1"/>
          <w:iCs w:val="1"/>
          <w:color w:val="auto"/>
        </w:rPr>
        <w:t xml:space="preserve"> A measure of the percentage of total paid customer downloaders who are video downloaders.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 for Full Year 2026</w:t>
      </w:r>
    </w:p>
    <w:p>
      <w:pPr>
        <w:spacing w:after="0" w:line="13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following table summarizes Getty Images’ fiscal year 2026 guidance, including a normalized revenue outlook that excludes the impact of the $40 million of accelerated revenue recognized in Q4 2025 from two multi-year licensing agreements. This guidance remains unchanged from guidance communicated earlier this year.</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4620" w:type="dxa"/>
            <w:vAlign w:val="bottom"/>
            <w:tcBorders>
              <w:top w:val="single" w:sz="8" w:color="auto"/>
              <w:left w:val="single" w:sz="8" w:color="auto"/>
              <w:right w:val="single" w:sz="8" w:color="auto"/>
            </w:tcBorders>
          </w:tcPr>
          <w:p>
            <w:pPr>
              <w:spacing w:after="0"/>
              <w:rPr>
                <w:sz w:val="22"/>
                <w:szCs w:val="22"/>
                <w:color w:val="auto"/>
              </w:rPr>
            </w:pP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 Guidance</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Normalized Revenue Growth</w:t>
            </w:r>
          </w:p>
        </w:tc>
      </w:tr>
      <w:tr>
        <w:trPr>
          <w:trHeight w:val="40"/>
        </w:trPr>
        <w:tc>
          <w:tcPr>
            <w:tcW w:w="462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r>
      <w:tr>
        <w:trPr>
          <w:trHeight w:val="282"/>
        </w:trPr>
        <w:tc>
          <w:tcPr>
            <w:tcW w:w="462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3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$948 million to $988 million</w:t>
            </w:r>
          </w:p>
        </w:tc>
        <w:tc>
          <w:tcPr>
            <w:tcW w:w="332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37"/>
        </w:trPr>
        <w:tc>
          <w:tcPr>
            <w:tcW w:w="4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Revenue YoY</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 to 0.6%</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 to 4.9%</w:t>
            </w:r>
          </w:p>
        </w:tc>
      </w:tr>
      <w:tr>
        <w:trPr>
          <w:trHeight w:val="40"/>
        </w:trPr>
        <w:tc>
          <w:tcPr>
            <w:tcW w:w="462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r>
      <w:tr>
        <w:trPr>
          <w:trHeight w:val="282"/>
        </w:trPr>
        <w:tc>
          <w:tcPr>
            <w:tcW w:w="462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Revenue YoY, Currency Neutral</w:t>
            </w:r>
          </w:p>
        </w:tc>
        <w:tc>
          <w:tcPr>
            <w:tcW w:w="33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 to -0.5%</w:t>
            </w:r>
          </w:p>
        </w:tc>
        <w:tc>
          <w:tcPr>
            <w:tcW w:w="33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 to 3.7%</w:t>
            </w:r>
          </w:p>
        </w:tc>
      </w:tr>
      <w:tr>
        <w:trPr>
          <w:trHeight w:val="237"/>
        </w:trPr>
        <w:tc>
          <w:tcPr>
            <w:tcW w:w="4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$279 million to $295 million</w:t>
            </w:r>
          </w:p>
        </w:tc>
        <w:tc>
          <w:tcPr>
            <w:tcW w:w="3320" w:type="dxa"/>
            <w:vAlign w:val="bottom"/>
            <w:tcBorders>
              <w:top w:val="single" w:sz="8" w:color="auto"/>
              <w:right w:val="single" w:sz="8" w:color="auto"/>
            </w:tcBorders>
          </w:tcPr>
          <w:p>
            <w:pPr>
              <w:spacing w:after="0"/>
              <w:rPr>
                <w:sz w:val="20"/>
                <w:szCs w:val="20"/>
                <w:color w:val="auto"/>
              </w:rPr>
            </w:pPr>
          </w:p>
        </w:tc>
      </w:tr>
      <w:tr>
        <w:trPr>
          <w:trHeight w:val="40"/>
        </w:trPr>
        <w:tc>
          <w:tcPr>
            <w:tcW w:w="462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r>
      <w:tr>
        <w:trPr>
          <w:trHeight w:val="282"/>
        </w:trPr>
        <w:tc>
          <w:tcPr>
            <w:tcW w:w="462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EBITDA YoY</w:t>
            </w:r>
          </w:p>
        </w:tc>
        <w:tc>
          <w:tcPr>
            <w:tcW w:w="33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 to -8.1%</w:t>
            </w:r>
          </w:p>
        </w:tc>
        <w:tc>
          <w:tcPr>
            <w:tcW w:w="33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 to 2.9%</w:t>
            </w:r>
          </w:p>
        </w:tc>
      </w:tr>
      <w:tr>
        <w:trPr>
          <w:trHeight w:val="237"/>
        </w:trPr>
        <w:tc>
          <w:tcPr>
            <w:tcW w:w="46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Adjusted EBITDA YoY, Currency Neutral</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-13.9% to -9.1%</w:t>
            </w:r>
          </w:p>
        </w:tc>
        <w:tc>
          <w:tcPr>
            <w:tcW w:w="3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 to 1.7%</w:t>
            </w:r>
          </w:p>
        </w:tc>
      </w:tr>
      <w:tr>
        <w:trPr>
          <w:trHeight w:val="41"/>
        </w:trPr>
        <w:tc>
          <w:tcPr>
            <w:tcW w:w="4620" w:type="dxa"/>
            <w:vAlign w:val="bottom"/>
            <w:tcBorders>
              <w:left w:val="single" w:sz="8" w:color="auto"/>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c>
          <w:tcPr>
            <w:tcW w:w="3320" w:type="dxa"/>
            <w:vAlign w:val="bottom"/>
            <w:tcBorders>
              <w:bottom w:val="single" w:sz="8" w:color="auto"/>
              <w:right w:val="single" w:sz="8" w:color="auto"/>
            </w:tcBorders>
          </w:tcPr>
          <w:p>
            <w:pPr>
              <w:spacing w:after="0"/>
              <w:rPr>
                <w:sz w:val="3"/>
                <w:szCs w:val="3"/>
                <w:color w:val="auto"/>
              </w:rPr>
            </w:pPr>
          </w:p>
        </w:tc>
      </w:tr>
    </w:tbl>
    <w:p>
      <w:pPr>
        <w:spacing w:after="0" w:line="30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The guidance has been prepared based on the following foreign currency exchange rates: the Euro at 1.17 and GBP at 1.34, which remains unchanged. In addition, the Adjusted EBITDA guidance now includes approximately $6.9 million of one-off increases in SG&amp;A, up from $5.6 million previously, as the Company continues to accelerate its SOX compliance efforts. This acceleration is in anticipation of needing to be SOX 404(b) compliant assuming the pending merger with Shutterstock is consummated in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F5496"/>
        </w:rPr>
        <w:t>Previously Announced Merger Agreement with Shutterstock</w:t>
      </w:r>
    </w:p>
    <w:p>
      <w:pPr>
        <w:spacing w:after="0" w:line="3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January 7, 2025, Getty Images announced that it entered into a merger agreement with Shutterstock to combine in a merger of equals transaction, creating a premier visual content company. The proposed transaction was approved by Shutterstock stockholders on June 10, 2025, the DOJ has concluded its review and the applicable waiting period under the Hart-Scott-Rodino Act has expired, without conditions and the Proposed Transaction remains subject to other customary closing conditions, including regulatory approval in the United Kingdom.</w:t>
      </w:r>
    </w:p>
    <w:p>
      <w:pPr>
        <w:spacing w:after="0" w:line="214"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Following submission of a briefing paper, on April 22, 2025, the United Kingdom Competition and Markets Authority ("CMA") invited Getty Images to submit a Merger Notice and their review process is ongoing. On October 20, 2025, Getty Images received notice from the CMA of their intent to refer the proposed merger to a Phase 2 review process unless acceptable undertakings to address their competition concerns are offered. On November 3, the CMA announced that despite the offer of a comprehensive package of remedies by Getty Images and Shutterstock, it has referred the merger to a Phase 2 review process.</w:t>
      </w:r>
    </w:p>
    <w:p>
      <w:pPr>
        <w:spacing w:after="0" w:line="22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On February 19, 2026, the CMA issued its interim report as part of its ongoing Phase 2 review, finding that the merger is not expected to result in a substantial lessening of competition in the global stock (creative) content market however the CMA also found that the merger may result in a lessening of competition in the UK editorial market.</w:t>
      </w:r>
    </w:p>
    <w:p>
      <w:pPr>
        <w:spacing w:after="0" w:line="21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11, 2026, the CMA published an Invitation to Comment on Remedies and published a Notice of Extension, extending its reference period by eight weeks to June 14, 2026. On March 12, 2026, Getty Images and Shutterstock responded to the Interim Report.</w:t>
      </w:r>
    </w:p>
    <w:p>
      <w:pPr>
        <w:spacing w:after="0" w:line="203"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On April 16, 2026, the CMA issued a provisional decision with respect to the appropriate remedy to address the competition concerns provisionally identified in the Interim Report.</w:t>
      </w:r>
    </w:p>
    <w:p>
      <w:pPr>
        <w:spacing w:after="0" w:line="217"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Getty Images and Shutterstock are actively engaged with the CMA ahead of the CMA’s final decision. Based on the merits of the transaction and market realities, Getty Images and Shutterstock remain hopeful that the CMA will reach a conclusion consistent with the DOJ and other regulators around the globe.</w:t>
      </w:r>
    </w:p>
    <w:p>
      <w:pPr>
        <w:sectPr>
          <w:pgSz w:w="11900" w:h="16838" w:orient="portrait"/>
          <w:cols w:equalWidth="0" w:num="1">
            <w:col w:w="11260"/>
          </w:cols>
          <w:pgMar w:left="320" w:top="1406" w:right="319" w:bottom="1440" w:gutter="0" w:footer="0" w:header="0"/>
        </w:sectPr>
      </w:pPr>
    </w:p>
    <w:bookmarkStart w:id="6" w:name="page7"/>
    <w:bookmarkEnd w:id="6"/>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 parties continue to expect the transaction to close in 2026.</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associated with the transaction, please see the Company filings from time to time with the Securities and Exchange Commission.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F5496"/>
        </w:rPr>
        <w:t>Webcast &amp; Conference Call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will host a conference call and live webcast with the investment community at 4:30 p.m. Eastern Time today, Monday, May 11, 2026, to discuss its first quarter 2026 results. The live webcast will be accessible through the Investor Relations section of the Company’s website at </w:t>
      </w:r>
      <w:r>
        <w:rPr>
          <w:rFonts w:ascii="Times New Roman" w:cs="Times New Roman" w:eastAsia="Times New Roman" w:hAnsi="Times New Roman"/>
          <w:sz w:val="18"/>
          <w:szCs w:val="18"/>
          <w:color w:val="0000FF"/>
        </w:rPr>
        <w:t>https://investors.gettyimages.com/</w:t>
      </w:r>
      <w:r>
        <w:rPr>
          <w:rFonts w:ascii="Times New Roman" w:cs="Times New Roman" w:eastAsia="Times New Roman" w:hAnsi="Times New Roman"/>
          <w:sz w:val="18"/>
          <w:szCs w:val="18"/>
          <w:color w:val="000000"/>
        </w:rPr>
        <w:t>. To access the call through a conference line, dial 1-800-245-3047 (in the U.S.) or 1-203-518-9765 (international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callers). The conference ID for the call is GETTYQ1. A replay of the conference call will be posted shortly after the call and will be available for fourteen days following the call. To access the replay, dial 1-844-512-2921 (in the U.S.) or 1-412-317-6671 (international callers). The access code for the replay is 11161581.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F5496"/>
        </w:rPr>
        <w:t>About Getty Images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Getty Images (NYSE: GETY) is a preeminent global visual content creator and marketplace that offers a full range of content solutions to meet the needs of any customer around the globe, no matter their size. Through its </w:t>
      </w:r>
      <w:r>
        <w:rPr>
          <w:rFonts w:ascii="Times New Roman" w:cs="Times New Roman" w:eastAsia="Times New Roman" w:hAnsi="Times New Roman"/>
          <w:sz w:val="18"/>
          <w:szCs w:val="18"/>
          <w:color w:val="0000FF"/>
        </w:rPr>
        <w:t>Getty Images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iStock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Unsplash</w:t>
      </w:r>
      <w:r>
        <w:rPr>
          <w:rFonts w:ascii="Times New Roman" w:cs="Times New Roman" w:eastAsia="Times New Roman" w:hAnsi="Times New Roman"/>
          <w:sz w:val="18"/>
          <w:szCs w:val="18"/>
          <w:color w:val="auto"/>
        </w:rPr>
        <w:t xml:space="preserve"> brands, websites and APIs, Getty Images serves customers in almost every country in the world and is the first-place people turn to discover, purchase and share powerful visual content from the world’s best photographers and videographers. Getty Images works with over 600,000 content creators and over 360 content partners to deliver this powerful and comprehensive content. Each year Getty Images covers more than 160,000 </w:t>
      </w:r>
      <w:r>
        <w:rPr>
          <w:rFonts w:ascii="Times New Roman" w:cs="Times New Roman" w:eastAsia="Times New Roman" w:hAnsi="Times New Roman"/>
          <w:sz w:val="18"/>
          <w:szCs w:val="18"/>
          <w:color w:val="0000FF"/>
        </w:rPr>
        <w:t>news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sport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entertainment</w:t>
      </w:r>
      <w:r>
        <w:rPr>
          <w:rFonts w:ascii="Times New Roman" w:cs="Times New Roman" w:eastAsia="Times New Roman" w:hAnsi="Times New Roman"/>
          <w:sz w:val="18"/>
          <w:szCs w:val="18"/>
          <w:color w:val="auto"/>
        </w:rPr>
        <w:t xml:space="preserve"> events providing depth and breadth of coverage that is unmatched. Getty Images maintains one of the largest and best privately-owned </w:t>
      </w:r>
      <w:r>
        <w:rPr>
          <w:rFonts w:ascii="Times New Roman" w:cs="Times New Roman" w:eastAsia="Times New Roman" w:hAnsi="Times New Roman"/>
          <w:sz w:val="18"/>
          <w:szCs w:val="18"/>
          <w:color w:val="0000FF"/>
        </w:rPr>
        <w:t>photographic archives</w:t>
      </w:r>
      <w:r>
        <w:rPr>
          <w:rFonts w:ascii="Times New Roman" w:cs="Times New Roman" w:eastAsia="Times New Roman" w:hAnsi="Times New Roman"/>
          <w:sz w:val="18"/>
          <w:szCs w:val="18"/>
          <w:color w:val="auto"/>
        </w:rPr>
        <w:t xml:space="preserve"> in the world with millions of images dating back to the beginning of photography.</w:t>
      </w:r>
    </w:p>
    <w:p>
      <w:pPr>
        <w:spacing w:after="0" w:line="175" w:lineRule="exact"/>
        <w:rPr>
          <w:sz w:val="20"/>
          <w:szCs w:val="20"/>
          <w:color w:val="auto"/>
        </w:rPr>
      </w:pPr>
    </w:p>
    <w:p>
      <w:pPr>
        <w:jc w:val="both"/>
        <w:spacing w:after="0" w:line="238" w:lineRule="exact"/>
        <w:rPr>
          <w:sz w:val="20"/>
          <w:szCs w:val="20"/>
          <w:color w:val="auto"/>
        </w:rPr>
      </w:pPr>
      <w:r>
        <w:rPr>
          <w:rFonts w:ascii="Times New Roman" w:cs="Times New Roman" w:eastAsia="Times New Roman" w:hAnsi="Times New Roman"/>
          <w:sz w:val="18"/>
          <w:szCs w:val="18"/>
          <w:color w:val="auto"/>
        </w:rPr>
        <w:t xml:space="preserve">Through its </w:t>
      </w:r>
      <w:r>
        <w:rPr>
          <w:rFonts w:ascii="Times New Roman" w:cs="Times New Roman" w:eastAsia="Times New Roman" w:hAnsi="Times New Roman"/>
          <w:sz w:val="18"/>
          <w:szCs w:val="18"/>
          <w:color w:val="0000FF"/>
        </w:rPr>
        <w:t>best-in-class creative library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Custom Content</w:t>
      </w:r>
      <w:r>
        <w:rPr>
          <w:rFonts w:ascii="Times New Roman" w:cs="Times New Roman" w:eastAsia="Times New Roman" w:hAnsi="Times New Roman"/>
          <w:sz w:val="18"/>
          <w:szCs w:val="18"/>
          <w:color w:val="auto"/>
        </w:rPr>
        <w:t xml:space="preserve"> solutions, Getty Images helps customers elevate their creativity and entire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end creative process </w:t>
      </w:r>
      <w:r>
        <w:rPr>
          <w:rFonts w:ascii="Times New Roman" w:cs="Times New Roman" w:eastAsia="Times New Roman" w:hAnsi="Times New Roman"/>
          <w:sz w:val="18"/>
          <w:szCs w:val="18"/>
          <w:color w:val="212529"/>
        </w:rPr>
        <w:t>to find the right visual for any need</w:t>
      </w:r>
      <w:r>
        <w:rPr>
          <w:rFonts w:ascii="Times New Roman" w:cs="Times New Roman" w:eastAsia="Times New Roman" w:hAnsi="Times New Roman"/>
          <w:sz w:val="18"/>
          <w:szCs w:val="18"/>
          <w:color w:val="auto"/>
        </w:rPr>
        <w:t xml:space="preserve">. With the adoption and distribution of generative AI technologies and tools trained on permissioned content that include </w:t>
      </w:r>
      <w:r>
        <w:rPr>
          <w:rFonts w:ascii="Times New Roman" w:cs="Times New Roman" w:eastAsia="Times New Roman" w:hAnsi="Times New Roman"/>
          <w:sz w:val="18"/>
          <w:szCs w:val="18"/>
          <w:color w:val="080808"/>
        </w:rPr>
        <w:t>indemnification and perpetual, worldwide usage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Getty Images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iStock</w:t>
      </w:r>
      <w:r>
        <w:rPr>
          <w:rFonts w:ascii="Times New Roman" w:cs="Times New Roman" w:eastAsia="Times New Roman" w:hAnsi="Times New Roman"/>
          <w:sz w:val="18"/>
          <w:szCs w:val="18"/>
          <w:color w:val="auto"/>
        </w:rPr>
        <w:t xml:space="preserve"> customers can use text to image generation to ideate and create commercially safe compelling visuals, further </w:t>
      </w:r>
      <w:r>
        <w:rPr>
          <w:rFonts w:ascii="Times New Roman" w:cs="Times New Roman" w:eastAsia="Times New Roman" w:hAnsi="Times New Roman"/>
          <w:sz w:val="18"/>
          <w:szCs w:val="18"/>
          <w:color w:val="080808"/>
        </w:rPr>
        <w:t>expanding Getty Images capabilities to deliver exactly what customers are looking for.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Company news and announcements, visit our </w:t>
      </w:r>
      <w:r>
        <w:rPr>
          <w:rFonts w:ascii="Times New Roman" w:cs="Times New Roman" w:eastAsia="Times New Roman" w:hAnsi="Times New Roman"/>
          <w:sz w:val="18"/>
          <w:szCs w:val="18"/>
          <w:color w:val="0000FF"/>
        </w:rPr>
        <w:t>Newsroom</w:t>
      </w:r>
      <w:r>
        <w:rPr>
          <w:rFonts w:ascii="Times New Roman" w:cs="Times New Roman" w:eastAsia="Times New Roman" w:hAnsi="Times New Roman"/>
          <w:sz w:val="18"/>
          <w:szCs w:val="18"/>
          <w:color w:val="auto"/>
        </w:rPr>
        <w: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F5496"/>
        </w:rPr>
        <w:t>Forward-Looking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included in this press release are not historical facts are forward-looking statements for purposes of the safe harbor provisions under the United States Private Securities Litigation Reform Act of 1995. Forward-looking statements may be identified by the use of the words such as “believe,” “may,” “will,” “estimate,” “continue,” “anticipate,” “intend,” “expect,” “should,” “would,” “plan,” “project,” “forecast,” “predict,” “potential,” “seem,” “seek,” “future,” “outlook,” “target” or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These statements are based on various assumptions, whether or not identified in this report,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our control.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and uncertainties, including: our inability to continue to license third-party content and offer relevant quality and diversity of content to satisfy customer needs; our ability to attract new customers and retain and motivate an increase in spending by our existing customers; our ability to grow our subscriptions business; the user experience of our customers on our websites; the extent to which</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rPr>
        <w:t>we are able to maintain and expand the breadth and quality of our content library through content licensed from third-party suppliers, content acquisitions and imagery captured by our staff of in-house photographers; the mix of and basis upon which we license our content, including the price-points at, and the license models and purchase options through, which we license our content; the risk that we operate in a highly competitive market; the risk that we are unable to successfully execute our business strategy or effectively manage costs; our inability to effectively manage our growth; our inability to maintain an effective system of internal controls and financial reporting; our incurrence of debt, including related interest rate volatility and rising interest costs, which could have a negative impact on our financing options and liquidity position; our need to seek additional capital and any related inability to obtain additional capital on commercially reasonable terms; the risk that we may lose the right to use “Getty Images” trademarks; our inability to evaluate our future prospects and challenges due to evolving markets and customers’ industries; the legal, social and ethical issues relating to the use of new and evolving technologies, such as Artificial Intelligence and machine learning (collectively, “AI”), including statements regarding AI and innovation momentum; the increased use of AI applications such as generative AI technologies that may result in harm to our brand, reputation, business, or intellectual property; the risk that our operations in and continued expansion into international markets bring additional business, political, regulatory, operational, financial and economic risks; our inability to adequately adapt our technology systems to ingest and deliver sufficient new content; the risk of technological interruptions or cybersecurity breaches, incidents, and vulnerabilities; the risk that any prolonged strike by, or lockout of, one or more of the unions that provide personnel essential to the production of films or television programs, such as the 2023 strike by the writers’ union and the actors’ unions and including its lingering effects, could further impact our entertainment business; the inability to expand our operations into new products, services and technologies and to increase customer and supplier awareness of our new and emerging products and services, including with respect to our AI initiatives; the loss of and inability to attract and retain key personnel that could negatively impact our business growth; the inability to protect the proprietary information of customers and networks against security breaches and protect and enforce intellectual property rights; our reliance on third parties; the risks related to our use of independent contractors; the risk that an increase in government regulation of the industries and markets in which we operate could negatively impact our business; the impact of worldwide and regional political, military or economic conditions, including declines in foreign currencies in relation to the value of the U.S. Dollar, hyperinflation, higher interest rates, trade wars and restrictions, tariffs, devaluation, military conflicts in Ukraine, South America and the Middle East, the impact of bank failures on the marketplace and the ability to access credit and significant political or civil disturbances in international markets where we conduct business; the risk that claims, judgments, lawsuits and other proceedings that have been, or may be, instituted against us or our predecessors, including pending lawsuits brought against us by former warrant holders, could adversely affect our business; the inability to regain compliance with the New York Stock Exchange continued listing standards; volatility in our stock price and in the liquidity of the trading market for our Class A common stock; the impact of any widespread outbreak of an illness, pandemic or other local or global health issue, natural disasters, or climate change; changes in applicable laws or regulations; the risks associated with evolving corporate governance and public disclosure requirements; the risk of greater than anticipated tax liabilities; the risks associated with the storage and use of personally identifiable information; earnings-related risks such as those associated with late payments, goodwill or other intangible assets; the risks associated with being an “emerging growth company” and “smaller reporting company” within the meaning of the U.S. securities laws; risks associated with our reliance on information technology in critical areas of our operations; our potential inability to pay dividends for the foreseeable future; the risks associated with additional issuances of Class A common stock without stockholder approval; risks related to our proposed merger with Shutterstock, Inc. (“Shutterstock”); costs related to operating as a public company; and other risks and uncertainties identified in “Item 1A. Risk Factors” of our most recently filed Annual Report on Form 10-K. If any of these risks materialize or our assumptions prove incorrect, actual results could differ materially from the results implied by these forward-looking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report are more fully described under the heading “Item 1A. Risk Factors” in our 2025 Form 10-K and in our other filings with the SEC. The risks described under the heading “Item 1.A. Risk Factors” in our 2025 Form 10-K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All forward-looking statements attributable to us or persons acting on our behalf are expressly qualified</w:t>
      </w:r>
    </w:p>
    <w:p>
      <w:pPr>
        <w:sectPr>
          <w:pgSz w:w="11900" w:h="16838" w:orient="portrait"/>
          <w:cols w:equalWidth="0" w:num="1">
            <w:col w:w="11240"/>
          </w:cols>
          <w:pgMar w:left="320" w:top="1417"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in their entirety by the foregoing cautionary statements. We undertake no obligations to update or revise publicly any forward-looking statements, whether as a result of new information, future events or otherwise, except as required by law.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statements of belief and similar statements reflect our beliefs and opinions on the relevant subject. These statements are based upon information available to us, as applicable, as of the date of this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8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2"/>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226,574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224,077</w:t>
            </w:r>
          </w:p>
        </w:tc>
      </w:tr>
      <w:tr>
        <w:trPr>
          <w:trHeight w:val="148"/>
        </w:trPr>
        <w:tc>
          <w:tcPr>
            <w:tcW w:w="8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3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revenue (exclusive of depreciation and amortization)</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66,168</w:t>
            </w:r>
          </w:p>
        </w:tc>
        <w:tc>
          <w:tcPr>
            <w:tcW w:w="80" w:type="dxa"/>
            <w:vAlign w:val="bottom"/>
          </w:tcPr>
          <w:p>
            <w:pPr>
              <w:spacing w:after="0"/>
              <w:rPr>
                <w:sz w:val="19"/>
                <w:szCs w:val="19"/>
                <w:color w:val="auto"/>
              </w:rPr>
            </w:pPr>
          </w:p>
        </w:tc>
        <w:tc>
          <w:tcPr>
            <w:tcW w:w="3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60,209</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102,187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98,268</w:t>
            </w: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14,947</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23"/>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litigation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operating expenses – net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18,402</w:t>
            </w:r>
          </w:p>
        </w:tc>
      </w:tr>
      <w:tr>
        <w:trPr>
          <w:trHeight w:val="217"/>
        </w:trPr>
        <w:tc>
          <w:tcPr>
            <w:tcW w:w="83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195,019</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196,735</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27,342</w:t>
            </w:r>
          </w:p>
        </w:tc>
      </w:tr>
      <w:tr>
        <w:trPr>
          <w:trHeight w:val="250"/>
        </w:trPr>
        <w:tc>
          <w:tcPr>
            <w:tcW w:w="83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(expense) income, net: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3"/>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(54,174)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(32,675)</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fair value adjustment for swaps – net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exchange gain (loss) –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(25,078)</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w:t>
            </w:r>
          </w:p>
        </w:tc>
      </w:tr>
      <w:tr>
        <w:trPr>
          <w:trHeight w:val="223"/>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non-operating income (expense) –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(2,094)</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 expense – net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(65,321)</w:t>
            </w:r>
          </w:p>
        </w:tc>
      </w:tr>
      <w:tr>
        <w:trPr>
          <w:trHeight w:val="224"/>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(37,979)</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(64,593)</w:t>
            </w:r>
          </w:p>
        </w:tc>
      </w:tr>
      <w:tr>
        <w:trPr>
          <w:trHeight w:val="20"/>
        </w:trPr>
        <w:tc>
          <w:tcPr>
            <w:tcW w:w="8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p>
      <w:pPr>
        <w:spacing w:after="0" w:line="162" w:lineRule="exact"/>
        <w:rPr>
          <w:sz w:val="20"/>
          <w:szCs w:val="20"/>
          <w:color w:val="auto"/>
        </w:rPr>
      </w:pPr>
    </w:p>
    <w:p>
      <w:pPr>
        <w:jc w:val="right"/>
        <w:ind w:right="6920"/>
        <w:spacing w:after="0"/>
        <w:rPr>
          <w:sz w:val="20"/>
          <w:szCs w:val="20"/>
          <w:color w:val="auto"/>
        </w:rPr>
      </w:pPr>
      <w:r>
        <w:rPr>
          <w:rFonts w:ascii="Times New Roman" w:cs="Times New Roman" w:eastAsia="Times New Roman" w:hAnsi="Times New Roman"/>
          <w:sz w:val="16"/>
          <w:szCs w:val="16"/>
          <w:color w:val="auto"/>
        </w:rPr>
        <w:t>Net loss</w:t>
      </w:r>
    </w:p>
    <w:p>
      <w:pPr>
        <w:spacing w:after="0" w:line="73" w:lineRule="exact"/>
        <w:rPr>
          <w:sz w:val="20"/>
          <w:szCs w:val="20"/>
          <w:color w:val="auto"/>
        </w:rPr>
      </w:pPr>
    </w:p>
    <w:p>
      <w:pPr>
        <w:jc w:val="right"/>
        <w:ind w:right="6940"/>
        <w:spacing w:after="0"/>
        <w:rPr>
          <w:sz w:val="20"/>
          <w:szCs w:val="20"/>
          <w:color w:val="auto"/>
        </w:rPr>
      </w:pPr>
      <w:r>
        <w:rPr>
          <w:rFonts w:ascii="Times New Roman" w:cs="Times New Roman" w:eastAsia="Times New Roman" w:hAnsi="Times New Roman"/>
          <w:sz w:val="16"/>
          <w:szCs w:val="16"/>
          <w:color w:val="auto"/>
        </w:rPr>
        <w:t>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p>
      <w:pPr>
        <w:spacing w:after="0" w:line="1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Net loss attributable to Getty Images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93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both"/>
        <w:ind w:left="940"/>
        <w:spacing w:after="0"/>
        <w:tabs>
          <w:tab w:leader="none" w:pos="2200" w:val="left"/>
        </w:tabs>
        <w:rPr>
          <w:sz w:val="20"/>
          <w:szCs w:val="20"/>
          <w:color w:val="auto"/>
        </w:rPr>
      </w:pPr>
      <w:r>
        <w:rPr>
          <w:rFonts w:ascii="Times New Roman" w:cs="Times New Roman" w:eastAsia="Times New Roman" w:hAnsi="Times New Roman"/>
          <w:sz w:val="16"/>
          <w:szCs w:val="16"/>
          <w:color w:val="auto"/>
        </w:rPr>
        <w:t>(4,434)</w:t>
      </w:r>
      <w:r>
        <w:rPr>
          <w:sz w:val="20"/>
          <w:szCs w:val="20"/>
          <w:color w:val="auto"/>
        </w:rPr>
        <w:tab/>
      </w:r>
      <w:r>
        <w:rPr>
          <w:rFonts w:ascii="Times New Roman" w:cs="Times New Roman" w:eastAsia="Times New Roman" w:hAnsi="Times New Roman"/>
          <w:sz w:val="16"/>
          <w:szCs w:val="16"/>
          <w:color w:val="auto"/>
        </w:rPr>
        <w:t>(102,572)</w:t>
      </w:r>
    </w:p>
    <w:p>
      <w:pPr>
        <w:spacing w:after="0" w:line="329" w:lineRule="exact"/>
        <w:rPr>
          <w:sz w:val="20"/>
          <w:szCs w:val="20"/>
          <w:color w:val="auto"/>
        </w:rPr>
      </w:pPr>
    </w:p>
    <w:p>
      <w:pPr>
        <w:ind w:left="2660" w:hanging="1602"/>
        <w:spacing w:after="0"/>
        <w:tabs>
          <w:tab w:leader="none" w:pos="2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18516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66" w:lineRule="exact"/>
        <w:rPr>
          <w:sz w:val="20"/>
          <w:szCs w:val="20"/>
          <w:color w:val="auto"/>
        </w:rPr>
      </w:pPr>
    </w:p>
    <w:p>
      <w:pPr>
        <w:spacing w:after="0"/>
        <w:tabs>
          <w:tab w:leader="none" w:pos="920" w:val="left"/>
          <w:tab w:leader="none" w:pos="1540" w:val="left"/>
          <w:tab w:leader="none" w:pos="22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(4,064)</w:t>
        <w:tab/>
        <w:t>$</w:t>
      </w:r>
      <w:r>
        <w:rPr>
          <w:sz w:val="20"/>
          <w:szCs w:val="20"/>
          <w:color w:val="auto"/>
        </w:rPr>
        <w:tab/>
      </w:r>
      <w:r>
        <w:rPr>
          <w:rFonts w:ascii="Times New Roman" w:cs="Times New Roman" w:eastAsia="Times New Roman" w:hAnsi="Times New Roman"/>
          <w:sz w:val="16"/>
          <w:szCs w:val="16"/>
          <w:color w:val="auto"/>
        </w:rPr>
        <w:t>(102,572)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18516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640" w:space="720"/>
            <w:col w:w="2880"/>
          </w:cols>
          <w:pgMar w:left="320" w:top="1392" w:right="339" w:bottom="1440" w:gutter="0" w:footer="0" w:header="0"/>
          <w:type w:val="continuous"/>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per share attributable to Class A Getty Images Holdings, Inc. common stockholders:</w:t>
            </w: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4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2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4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33"/>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48"/>
        </w:trPr>
        <w:tc>
          <w:tcPr>
            <w:tcW w:w="7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r>
      <w:tr>
        <w:trPr>
          <w:trHeight w:val="223"/>
        </w:trPr>
        <w:tc>
          <w:tcPr>
            <w:tcW w:w="7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Weighted-average Class A common shares outstanding:</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7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417,539,058</w:t>
            </w:r>
          </w:p>
        </w:tc>
        <w:tc>
          <w:tcPr>
            <w:tcW w:w="3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412,472,878</w:t>
            </w:r>
          </w:p>
        </w:tc>
      </w:tr>
      <w:tr>
        <w:trPr>
          <w:trHeight w:val="223"/>
        </w:trPr>
        <w:tc>
          <w:tcPr>
            <w:tcW w:w="72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417,539,058</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412,472,878</w:t>
            </w:r>
          </w:p>
        </w:tc>
      </w:tr>
    </w:tbl>
    <w:p>
      <w:pPr>
        <w:sectPr>
          <w:pgSz w:w="11900" w:h="16838" w:orient="portrait"/>
          <w:cols w:equalWidth="0" w:num="1">
            <w:col w:w="11240"/>
          </w:cols>
          <w:pgMar w:left="320" w:top="1392" w:right="339" w:bottom="1440" w:gutter="0" w:footer="0" w:header="0"/>
          <w:type w:val="continuous"/>
        </w:sectPr>
      </w:pPr>
    </w:p>
    <w:bookmarkStart w:id="10" w:name="page11"/>
    <w:bookmarkEnd w:id="10"/>
    <w:p>
      <w:pPr>
        <w:ind w:left="418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par value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90,183</w:t>
            </w:r>
          </w:p>
        </w:tc>
      </w:tr>
      <w:tr>
        <w:trPr>
          <w:trHeight w:val="224"/>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640,656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635,124</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 – net of allowance of $5,366 and $5,338,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208,468</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20,786</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34,954</w:t>
            </w:r>
          </w:p>
        </w:tc>
      </w:tr>
      <w:tr>
        <w:trPr>
          <w:trHeight w:val="224"/>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Taxes receivable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10,342</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11,526</w:t>
            </w:r>
          </w:p>
        </w:tc>
      </w:tr>
      <w:tr>
        <w:trPr>
          <w:trHeight w:val="217"/>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1,002,649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1,011,383</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184,189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24,262</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1,516,265</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414,699</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31,513</w:t>
            </w: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2"/>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3,217,325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3,240,288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8"/>
        </w:trPr>
        <w:tc>
          <w:tcPr>
            <w:tcW w:w="8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37"/>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114,231</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89,854</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Short-term debt, net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701,816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696,474</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13,772</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Litigation reserves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205,324</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188,338</w:t>
            </w: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1,324,991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1,307,993</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1,251,399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1,270,888</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23,553</w:t>
            </w: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14,217</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2,630,712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2,639,662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&amp; contingencies (Note 11)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94"/>
        </w:trPr>
        <w:tc>
          <w:tcPr>
            <w:tcW w:w="8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r>
      <w:tr>
        <w:trPr>
          <w:trHeight w:val="22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2"/>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Class A common stock, $0.0001 par value: 2.0 billion shares authorized; 419.0 million shares issued and outstanding as</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3"/>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of March 31, 2026 and 417.2 million shares issued and outstanding as of December 31, 2025</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4"/>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2,043,226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2,039,751</w:t>
            </w:r>
          </w:p>
        </w:tc>
      </w:tr>
      <w:tr>
        <w:trPr>
          <w:trHeight w:val="33"/>
        </w:trPr>
        <w:tc>
          <w:tcPr>
            <w:tcW w:w="8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(1,433,669)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(1,429,605)</w:t>
            </w:r>
          </w:p>
        </w:tc>
      </w:tr>
      <w:tr>
        <w:trPr>
          <w:trHeight w:val="224"/>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(57,646)</w:t>
            </w: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Getty Images Holdings, Inc.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538,899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552,542</w:t>
            </w:r>
          </w:p>
        </w:tc>
      </w:tr>
      <w:tr>
        <w:trPr>
          <w:trHeight w:val="224"/>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48,084</w:t>
            </w:r>
          </w:p>
        </w:tc>
      </w:tr>
      <w:tr>
        <w:trPr>
          <w:trHeight w:val="33"/>
        </w:trPr>
        <w:tc>
          <w:tcPr>
            <w:tcW w:w="8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600,626</w:t>
            </w:r>
          </w:p>
        </w:tc>
      </w:tr>
      <w:tr>
        <w:trPr>
          <w:trHeight w:val="247"/>
        </w:trPr>
        <w:tc>
          <w:tcPr>
            <w:tcW w:w="81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3,217,325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3,240,288</w:t>
            </w:r>
          </w:p>
        </w:tc>
      </w:tr>
      <w:tr>
        <w:trPr>
          <w:trHeight w:val="24"/>
        </w:trPr>
        <w:tc>
          <w:tcPr>
            <w:tcW w:w="8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413" w:right="339" w:bottom="1440" w:gutter="0" w:footer="0" w:header="0"/>
        </w:sectPr>
      </w:pPr>
    </w:p>
    <w:bookmarkStart w:id="11" w:name="page12"/>
    <w:bookmarkEnd w:id="11"/>
    <w:p>
      <w:pPr>
        <w:spacing w:after="0" w:line="2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6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(102,572)</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(gain) losses on foreign denominated debt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18,330</w:t>
            </w:r>
          </w:p>
        </w:tc>
      </w:tr>
      <w:tr>
        <w:trPr>
          <w:trHeight w:val="224"/>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4,525</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Debt extinguishment</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5,474</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income taxes –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54,827</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Uncertain tax positions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24"/>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3,145</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w:t>
            </w:r>
          </w:p>
        </w:tc>
      </w:tr>
      <w:tr>
        <w:trPr>
          <w:trHeight w:val="224"/>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23"/>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Litigation reserves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23"/>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Income taxes receivable/payable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Interest payable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(7,316)</w:t>
            </w:r>
          </w:p>
        </w:tc>
      </w:tr>
      <w:tr>
        <w:trPr>
          <w:trHeight w:val="223"/>
        </w:trPr>
        <w:tc>
          <w:tcPr>
            <w:tcW w:w="81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13,167</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15,384</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8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(15,706)</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(15,706)</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8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1,040,872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refinancing costs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debt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(1,018,076)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taxes associated with equity-based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(12,547)</w:t>
            </w:r>
          </w:p>
        </w:tc>
      </w:tr>
      <w:tr>
        <w:trPr>
          <w:trHeight w:val="183"/>
        </w:trPr>
        <w:tc>
          <w:tcPr>
            <w:tcW w:w="81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exchange rates fluctuations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6,238</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(6,631)</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725,307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125,304</w:t>
            </w:r>
          </w:p>
        </w:tc>
      </w:tr>
      <w:tr>
        <w:trPr>
          <w:trHeight w:val="247"/>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737,290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118,673</w:t>
            </w:r>
          </w:p>
        </w:tc>
      </w:tr>
      <w:tr>
        <w:trPr>
          <w:trHeight w:val="2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080808"/>
        </w:rPr>
        <w:t>Non-GAAP Financial Measures</w:t>
      </w:r>
    </w:p>
    <w:p>
      <w:pPr>
        <w:sectPr>
          <w:pgSz w:w="11900" w:h="16838" w:orient="portrait"/>
          <w:cols w:equalWidth="0" w:num="1">
            <w:col w:w="11240"/>
          </w:cols>
          <w:pgMar w:left="320" w:top="1440" w:right="339" w:bottom="1440" w:gutter="0" w:footer="0" w:header="0"/>
          <w:type w:val="continuous"/>
        </w:sectPr>
      </w:pPr>
    </w:p>
    <w:bookmarkStart w:id="12" w:name="page13"/>
    <w:bookmarkEnd w:id="12"/>
    <w:p>
      <w:pPr>
        <w:jc w:val="both"/>
        <w:spacing w:after="0" w:line="271" w:lineRule="auto"/>
        <w:rPr>
          <w:sz w:val="20"/>
          <w:szCs w:val="20"/>
          <w:color w:val="auto"/>
        </w:rPr>
      </w:pPr>
      <w:r>
        <w:rPr>
          <w:rFonts w:ascii="Times New Roman" w:cs="Times New Roman" w:eastAsia="Times New Roman" w:hAnsi="Times New Roman"/>
          <w:sz w:val="18"/>
          <w:szCs w:val="18"/>
          <w:color w:val="auto"/>
        </w:rPr>
        <w:t>In order to assist investors in understanding the core operating results that our management uses to evaluate the business and for financial planning, we present the following non-GAAP measures: (1) Adjusted EBITDA, (2) Adjusted EBITDA Margin, (3) Adjusted EBITDA less capex (4) Adjusted EBITDA less capex Margin, (5) Adjusted Net Income and Adjusted Earnings Per Share and (6) Free cash flow. The presentation of this financial information is not intended to be considered in isolation or as a substitute for, or superior to, the financial information prepared and presented in accordance with U.S. GAAP.</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useful information widely used by analysts, investors and other interested parties in our industry to provide a baseline for evaluating and comparing our operating performance, and in the case of free cash flow, our liquidity results. We also evaluate our revenue and other metrics on an as reported (U.S. GAAP) and currency neutral basis. We believe presenting currency neutral information provides valuable supplemental information regarding our comparable results, consistent with how we evaluate our performance internally.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these non-GAAP measures to the most comparable GAAP measures are provided below.</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reconcile its forward-looking non-GAAP financial measures to the corresponding U.S. GAAP measures, due to variability and difficulty in making accurate forecasts and projections and/or certain information not being ascertainable or accessible; and because not all of the information, such as foreign currency impacts necessary for a quantitative reconciliation of these forward-looking non-GAAP financial measures to the most directly comparable U.S. GAAP financial measure, is available to the Company without unreasonable efforts. For the same reasons, the Company is unable to address the probable significance of the unavailable information. The Company provides non-GAAP financial measures that it believes will be achieved, however it cannot accurately predict all of the components of the adjusted calculations and the U.S. GAAP measures may be materially different than the non-GAAP measures.</w:t>
      </w:r>
    </w:p>
    <w:p>
      <w:pPr>
        <w:spacing w:after="0" w:line="222"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20"/>
          <w:szCs w:val="20"/>
          <w:b w:val="1"/>
          <w:bCs w:val="1"/>
          <w:color w:val="080808"/>
        </w:rPr>
        <w:t>Reconciliation of Adjusted EBITDA, Adjusted EBITDA Margin, and Adjusted EBITDA less capex and Adjusted EBITDA less capex Margin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7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6"/>
        </w:trPr>
        <w:tc>
          <w:tcPr>
            <w:tcW w:w="7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1"/>
        </w:trPr>
        <w:tc>
          <w:tcPr>
            <w:tcW w:w="7840" w:type="dxa"/>
            <w:vAlign w:val="bottom"/>
            <w:tcBorders>
              <w:bottom w:val="single" w:sz="8" w:color="CFF0FC"/>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(4,434)</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FF0FC"/>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(102,572)</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Add/(less) non-GAAP adjustments: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78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6"/>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16,659</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15,513</w:t>
            </w:r>
          </w:p>
        </w:tc>
      </w:tr>
      <w:tr>
        <w:trPr>
          <w:trHeight w:val="22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 – net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18,402</w:t>
            </w:r>
          </w:p>
        </w:tc>
      </w:tr>
      <w:tr>
        <w:trPr>
          <w:trHeight w:val="33"/>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litigation</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4,343</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54,174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32,675</w:t>
            </w:r>
          </w:p>
        </w:tc>
      </w:tr>
      <w:tr>
        <w:trPr>
          <w:trHeight w:val="33"/>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xml:space="preserve">Foreign exchange and other non-operating (income) expense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(20,780)</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27,172</w:t>
            </w:r>
          </w:p>
        </w:tc>
      </w:tr>
      <w:tr>
        <w:trPr>
          <w:trHeight w:val="210"/>
        </w:trPr>
        <w:tc>
          <w:tcPr>
            <w:tcW w:w="7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5,474</w:t>
            </w:r>
          </w:p>
        </w:tc>
      </w:tr>
      <w:tr>
        <w:trPr>
          <w:trHeight w:val="33"/>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2,595</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64,593</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expense, net of capitalization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4,525</w:t>
            </w:r>
          </w:p>
        </w:tc>
      </w:tr>
      <w:tr>
        <w:trPr>
          <w:trHeight w:val="33"/>
        </w:trPr>
        <w:tc>
          <w:tcPr>
            <w:tcW w:w="78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6"/>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61,590</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70,125</w:t>
            </w:r>
          </w:p>
        </w:tc>
      </w:tr>
      <w:tr>
        <w:trPr>
          <w:trHeight w:val="210"/>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Capex</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16,063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15,706</w:t>
            </w:r>
          </w:p>
        </w:tc>
      </w:tr>
      <w:tr>
        <w:trPr>
          <w:trHeight w:val="33"/>
        </w:trPr>
        <w:tc>
          <w:tcPr>
            <w:tcW w:w="784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 less capex</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45,527</w:t>
            </w: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54,419</w:t>
            </w:r>
          </w:p>
        </w:tc>
      </w:tr>
      <w:tr>
        <w:trPr>
          <w:trHeight w:val="204"/>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margin</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33"/>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31.3 %</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less capex margin</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24.3 %</w:t>
            </w: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Foreign currency exchange contracts, foreign exchange gains (losses) and other insignificant non-operating related expenses (income).</w:t>
      </w:r>
    </w:p>
    <w:p>
      <w:pPr>
        <w:sectPr>
          <w:pgSz w:w="11900" w:h="16838" w:orient="portrait"/>
          <w:cols w:equalWidth="0" w:num="1">
            <w:col w:w="11240"/>
          </w:cols>
          <w:pgMar w:left="320" w:top="1417" w:right="339" w:bottom="1440" w:gutter="0" w:footer="0" w:header="0"/>
        </w:sectPr>
      </w:pPr>
    </w:p>
    <w:bookmarkStart w:id="13" w:name="page14"/>
    <w:bookmarkEnd w:id="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Income and Adjusted Earnings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Adjusted Net Income and Adjusted Earnings Per Share are non-GAAP financial measures that we use to provide a more meaningful comparison of our core operating results from period to period. These measures exclude the impact of certain items that we believe are not indicative of our core operating performance. These adjustments include, but are not limited to, foreign exchange gains (losses), net and other non-recurring items. The following table reconciles Net Income (Loss) and Earnings (Loss) Per Share, the most directly comparable GAAP measures, to Adjusted Net Income (Loss) and Adjusted Earnings (Loss) Per Share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6"/>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(4,434)</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(102,572)</w:t>
            </w: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Add/(less) non-GAAP adjustments: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4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3,371</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0" w:type="dxa"/>
            <w:vAlign w:val="bottom"/>
          </w:tcPr>
          <w:p>
            <w:pPr>
              <w:spacing w:after="0"/>
              <w:rPr>
                <w:sz w:val="1"/>
                <w:szCs w:val="1"/>
                <w:color w:val="auto"/>
              </w:rPr>
            </w:pP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of equity-based compensation expense</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litigation</w:t>
            </w:r>
          </w:p>
        </w:tc>
        <w:tc>
          <w:tcPr>
            <w:tcW w:w="4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5,123</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4,343</w:t>
            </w:r>
          </w:p>
        </w:tc>
        <w:tc>
          <w:tcPr>
            <w:tcW w:w="0" w:type="dxa"/>
            <w:vAlign w:val="bottom"/>
          </w:tcPr>
          <w:p>
            <w:pPr>
              <w:spacing w:after="0"/>
              <w:rPr>
                <w:sz w:val="1"/>
                <w:szCs w:val="1"/>
                <w:color w:val="auto"/>
              </w:rPr>
            </w:pP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of loss on litigation, net of recovery</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exchange</w:t>
            </w:r>
          </w:p>
        </w:tc>
        <w:tc>
          <w:tcPr>
            <w:tcW w:w="4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(14,773)</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25,078</w:t>
            </w:r>
          </w:p>
        </w:tc>
        <w:tc>
          <w:tcPr>
            <w:tcW w:w="0" w:type="dxa"/>
            <w:vAlign w:val="bottom"/>
          </w:tcPr>
          <w:p>
            <w:pPr>
              <w:spacing w:after="0"/>
              <w:rPr>
                <w:sz w:val="1"/>
                <w:szCs w:val="1"/>
                <w:color w:val="auto"/>
              </w:rPr>
            </w:pP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on foreign exchange (loss) gain – net</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3,900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(7,120)</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Acquisition related costs</w:t>
            </w:r>
          </w:p>
        </w:tc>
        <w:tc>
          <w:tcPr>
            <w:tcW w:w="4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18,043</w:t>
            </w:r>
          </w:p>
        </w:tc>
        <w:tc>
          <w:tcPr>
            <w:tcW w:w="0" w:type="dxa"/>
            <w:vAlign w:val="bottom"/>
          </w:tcPr>
          <w:p>
            <w:pPr>
              <w:spacing w:after="0"/>
              <w:rPr>
                <w:sz w:val="1"/>
                <w:szCs w:val="1"/>
                <w:color w:val="auto"/>
              </w:rPr>
            </w:pP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of acquisition related costs</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Loss on debt extinguishment and expensed financing costs</w:t>
            </w:r>
          </w:p>
        </w:tc>
        <w:tc>
          <w:tcPr>
            <w:tcW w:w="4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8,651</w:t>
            </w:r>
          </w:p>
        </w:tc>
        <w:tc>
          <w:tcPr>
            <w:tcW w:w="0" w:type="dxa"/>
            <w:vAlign w:val="bottom"/>
          </w:tcPr>
          <w:p>
            <w:pPr>
              <w:spacing w:after="0"/>
              <w:rPr>
                <w:sz w:val="1"/>
                <w:szCs w:val="1"/>
                <w:color w:val="auto"/>
              </w:rPr>
            </w:pPr>
          </w:p>
        </w:tc>
      </w:tr>
      <w:tr>
        <w:trPr>
          <w:trHeight w:val="24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effect of loss on debt extinguishment and expensed financing costs</w:t>
            </w:r>
            <w:r>
              <w:rPr>
                <w:rFonts w:ascii="Times New Roman" w:cs="Times New Roman" w:eastAsia="Times New Roman" w:hAnsi="Times New Roman"/>
                <w:sz w:val="21"/>
                <w:szCs w:val="21"/>
                <w:color w:val="auto"/>
                <w:vertAlign w:val="superscript"/>
              </w:rPr>
              <w:t>1</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0" w:type="dxa"/>
            <w:vAlign w:val="bottom"/>
          </w:tcPr>
          <w:p>
            <w:pPr>
              <w:spacing w:after="0"/>
              <w:rPr>
                <w:sz w:val="1"/>
                <w:szCs w:val="1"/>
                <w:color w:val="auto"/>
              </w:rPr>
            </w:pPr>
          </w:p>
        </w:tc>
      </w:tr>
      <w:tr>
        <w:trPr>
          <w:trHeight w:val="217"/>
        </w:trPr>
        <w:tc>
          <w:tcPr>
            <w:tcW w:w="7640" w:type="dxa"/>
            <w:vAlign w:val="bottom"/>
            <w:tcBorders>
              <w:top w:val="single" w:sz="8" w:color="CFF0FC"/>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net loss</w:t>
            </w:r>
          </w:p>
        </w:tc>
        <w:tc>
          <w:tcPr>
            <w:tcW w:w="50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(6,521)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(58,279)</w:t>
            </w: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4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Adjusted diluted earnings per share</w:t>
            </w:r>
          </w:p>
        </w:tc>
        <w:tc>
          <w:tcPr>
            <w:tcW w:w="66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70"/>
        </w:trPr>
        <w:tc>
          <w:tcPr>
            <w:tcW w:w="7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4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417,539,058</w:t>
            </w: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412,472,878</w:t>
            </w:r>
          </w:p>
        </w:tc>
        <w:tc>
          <w:tcPr>
            <w:tcW w:w="0" w:type="dxa"/>
            <w:vAlign w:val="bottom"/>
          </w:tcPr>
          <w:p>
            <w:pPr>
              <w:spacing w:after="0"/>
              <w:rPr>
                <w:sz w:val="1"/>
                <w:szCs w:val="1"/>
                <w:color w:val="auto"/>
              </w:rPr>
            </w:pPr>
          </w:p>
        </w:tc>
      </w:tr>
      <w:tr>
        <w:trPr>
          <w:trHeight w:val="507"/>
        </w:trPr>
        <w:tc>
          <w:tcPr>
            <w:tcW w:w="7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Statutory tax rates used to calculate the tax effect of the adjustments.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7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080808"/>
              </w:rPr>
              <w:t>Reconciliation of Free Cash Flow</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940" w:type="dxa"/>
            <w:vAlign w:val="bottom"/>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64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1"/>
        </w:trPr>
        <w:tc>
          <w:tcPr>
            <w:tcW w:w="7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color w:val="auto"/>
                <w:w w:val="99"/>
              </w:rPr>
              <w:t>40,032</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15,384</w:t>
            </w:r>
          </w:p>
        </w:tc>
        <w:tc>
          <w:tcPr>
            <w:tcW w:w="0" w:type="dxa"/>
            <w:vAlign w:val="bottom"/>
          </w:tcPr>
          <w:p>
            <w:pPr>
              <w:spacing w:after="0"/>
              <w:rPr>
                <w:sz w:val="1"/>
                <w:szCs w:val="1"/>
                <w:color w:val="auto"/>
              </w:rPr>
            </w:pPr>
          </w:p>
        </w:tc>
      </w:tr>
      <w:tr>
        <w:trPr>
          <w:trHeight w:val="22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8"/>
              </w:rPr>
              <w:t>(16,063)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(15,706)</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w w:val="99"/>
              </w:rPr>
              <w:t>23,969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080808"/>
        </w:rPr>
        <w:t>OTHER FINANCIAL DATA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80808"/>
        </w:rPr>
        <w:t>Revenue by Product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percentages)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6"/>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8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7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CN % change</w:t>
            </w:r>
          </w:p>
        </w:tc>
      </w:tr>
      <w:tr>
        <w:trPr>
          <w:trHeight w:val="23"/>
        </w:trPr>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9"/>
        </w:trPr>
        <w:tc>
          <w:tcPr>
            <w:tcW w:w="1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Creative</w:t>
            </w:r>
          </w:p>
        </w:tc>
        <w:tc>
          <w:tcPr>
            <w:tcW w:w="28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126,249</w:t>
            </w:r>
          </w:p>
        </w:tc>
        <w:tc>
          <w:tcPr>
            <w:tcW w:w="10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55.7 %</w:t>
            </w:r>
          </w:p>
        </w:tc>
        <w:tc>
          <w:tcPr>
            <w:tcW w:w="10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132,175</w:t>
            </w:r>
          </w:p>
        </w:tc>
        <w:tc>
          <w:tcPr>
            <w:tcW w:w="10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59.0 %</w:t>
            </w:r>
          </w:p>
        </w:tc>
        <w:tc>
          <w:tcPr>
            <w:tcW w:w="1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(5,926)</w:t>
            </w:r>
          </w:p>
        </w:tc>
        <w:tc>
          <w:tcPr>
            <w:tcW w:w="100" w:type="dxa"/>
            <w:vAlign w:val="bottom"/>
            <w:tcBorders>
              <w:bottom w:val="single" w:sz="8" w:color="CFF0FC"/>
            </w:tcBorders>
            <w:shd w:val="clear" w:color="auto" w:fill="CFF0FC"/>
          </w:tcPr>
          <w:p>
            <w:pPr>
              <w:spacing w:after="0"/>
              <w:rPr>
                <w:sz w:val="16"/>
                <w:szCs w:val="16"/>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9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Editorial</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91,690</w:t>
            </w: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82,617</w:t>
            </w:r>
          </w:p>
        </w:tc>
        <w:tc>
          <w:tcPr>
            <w:tcW w:w="1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9,073</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11.0 %</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23"/>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96"/>
        </w:trPr>
        <w:tc>
          <w:tcPr>
            <w:tcW w:w="15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8,635</w:t>
            </w:r>
          </w:p>
        </w:tc>
        <w:tc>
          <w:tcPr>
            <w:tcW w:w="10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9,285</w:t>
            </w:r>
          </w:p>
        </w:tc>
        <w:tc>
          <w:tcPr>
            <w:tcW w:w="10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209"/>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226,574</w:t>
            </w:r>
          </w:p>
        </w:tc>
        <w:tc>
          <w:tcPr>
            <w:tcW w:w="100" w:type="dxa"/>
            <w:vAlign w:val="bottom"/>
          </w:tcPr>
          <w:p>
            <w:pPr>
              <w:spacing w:after="0"/>
              <w:rPr>
                <w:sz w:val="18"/>
                <w:szCs w:val="18"/>
                <w:color w:val="auto"/>
              </w:rPr>
            </w:pPr>
          </w:p>
        </w:tc>
        <w:tc>
          <w:tcPr>
            <w:tcW w:w="188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100.0 %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224,077</w:t>
            </w:r>
          </w:p>
        </w:tc>
        <w:tc>
          <w:tcPr>
            <w:tcW w:w="100" w:type="dxa"/>
            <w:vAlign w:val="bottom"/>
          </w:tcPr>
          <w:p>
            <w:pPr>
              <w:spacing w:after="0"/>
              <w:rPr>
                <w:sz w:val="18"/>
                <w:szCs w:val="18"/>
                <w:color w:val="auto"/>
              </w:rPr>
            </w:pPr>
          </w:p>
        </w:tc>
        <w:tc>
          <w:tcPr>
            <w:tcW w:w="18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100.0 %  $</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1"/>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080808"/>
        </w:rPr>
        <w:t>Balance Sheet &amp; Liquidity</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millions)</w:t>
            </w:r>
          </w:p>
        </w:tc>
        <w:tc>
          <w:tcPr>
            <w:tcW w:w="26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0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6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33"/>
        </w:trPr>
        <w:tc>
          <w:tcPr>
            <w:tcW w:w="5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0"/>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&amp; Cash Equivalents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r>
      <w:tr>
        <w:trPr>
          <w:trHeight w:val="257"/>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Available under Revolving Credit Facility</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72"/>
        </w:trPr>
        <w:tc>
          <w:tcPr>
            <w:tcW w:w="5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Liquidity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r>
        <w:trPr>
          <w:trHeight w:val="220"/>
        </w:trPr>
        <w:tc>
          <w:tcPr>
            <w:tcW w:w="5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7"/>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USD Term Loans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r>
      <w:tr>
        <w:trPr>
          <w:trHeight w:val="257"/>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2025 EUR Term Loans</w:t>
            </w:r>
            <w:r>
              <w:rPr>
                <w:rFonts w:ascii="Times New Roman" w:cs="Times New Roman" w:eastAsia="Times New Roman" w:hAnsi="Times New Roman"/>
                <w:sz w:val="21"/>
                <w:szCs w:val="21"/>
                <w:color w:val="auto"/>
                <w:vertAlign w:val="superscript"/>
              </w:rPr>
              <w:t>3</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476.1</w:t>
            </w:r>
          </w:p>
        </w:tc>
      </w:tr>
      <w:tr>
        <w:trPr>
          <w:trHeight w:val="230"/>
        </w:trPr>
        <w:tc>
          <w:tcPr>
            <w:tcW w:w="53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Balance - Term Loans Outstanding</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r>
      <w:tr>
        <w:trPr>
          <w:trHeight w:val="223"/>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Unsecured Notes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33"/>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7"/>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Notes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53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Debt</w:t>
            </w:r>
            <w:r>
              <w:rPr>
                <w:rFonts w:ascii="Times New Roman" w:cs="Times New Roman" w:eastAsia="Times New Roman" w:hAnsi="Times New Roman"/>
                <w:sz w:val="21"/>
                <w:szCs w:val="21"/>
                <w:color w:val="auto"/>
                <w:vertAlign w:val="superscript"/>
              </w:rPr>
              <w:t>4</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1,356.1</w:t>
            </w:r>
          </w:p>
        </w:tc>
      </w:tr>
      <w:tr>
        <w:trPr>
          <w:trHeight w:val="20"/>
        </w:trPr>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100" w:hanging="92"/>
        <w:spacing w:after="0"/>
        <w:tabs>
          <w:tab w:leader="none" w:pos="100" w:val="left"/>
        </w:tabs>
        <w:numPr>
          <w:ilvl w:val="0"/>
          <w:numId w:val="1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Excludes restricted cash of $640.7 million as of March 31, 2026, $635.1 million as of December 31, 2025 and $4.1 million as of March 31, 2025.</w:t>
      </w:r>
    </w:p>
    <w:p>
      <w:pPr>
        <w:spacing w:after="0" w:line="3" w:lineRule="exact"/>
        <w:rPr>
          <w:rFonts w:ascii="Times New Roman" w:cs="Times New Roman" w:eastAsia="Times New Roman" w:hAnsi="Times New Roman"/>
          <w:sz w:val="19"/>
          <w:szCs w:val="19"/>
          <w:i w:val="1"/>
          <w:iCs w:val="1"/>
          <w:color w:val="auto"/>
          <w:vertAlign w:val="superscript"/>
        </w:rPr>
      </w:pPr>
    </w:p>
    <w:p>
      <w:pPr>
        <w:spacing w:after="0" w:line="203" w:lineRule="auto"/>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 xml:space="preserve"> Our Revolving Credit Facility was effective May, 2023 and matures May, 2028.</w:t>
      </w:r>
    </w:p>
    <w:p>
      <w:pPr>
        <w:ind w:left="80" w:hanging="81"/>
        <w:spacing w:after="0" w:line="269" w:lineRule="auto"/>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9"/>
          <w:szCs w:val="9"/>
          <w:i w:val="1"/>
          <w:iCs w:val="1"/>
          <w:color w:val="auto"/>
        </w:rPr>
        <w:t xml:space="preserve">3 </w:t>
      </w:r>
      <w:r>
        <w:rPr>
          <w:rFonts w:ascii="Times New Roman" w:cs="Times New Roman" w:eastAsia="Times New Roman" w:hAnsi="Times New Roman"/>
          <w:sz w:val="14"/>
          <w:szCs w:val="14"/>
          <w:i w:val="1"/>
          <w:iCs w:val="1"/>
          <w:color w:val="auto"/>
        </w:rPr>
        <w:t>Face Value of Debt is €418.0 million as of March 31, 2026 converted using FX spot rate of 1.15, €423.5 million as of December 31, 2025 converted using FX spot rate of 1.17, and</w:t>
      </w:r>
      <w:r>
        <w:rPr>
          <w:rFonts w:ascii="Times New Roman" w:cs="Times New Roman" w:eastAsia="Times New Roman" w:hAnsi="Times New Roman"/>
          <w:sz w:val="9"/>
          <w:szCs w:val="9"/>
          <w:i w:val="1"/>
          <w:iCs w:val="1"/>
          <w:color w:val="auto"/>
        </w:rPr>
        <w:t xml:space="preserve"> </w:t>
      </w:r>
      <w:r>
        <w:rPr>
          <w:rFonts w:ascii="Times New Roman" w:cs="Times New Roman" w:eastAsia="Times New Roman" w:hAnsi="Times New Roman"/>
          <w:sz w:val="14"/>
          <w:szCs w:val="14"/>
          <w:i w:val="1"/>
          <w:iCs w:val="1"/>
          <w:color w:val="auto"/>
        </w:rPr>
        <w:t>€440.0 million as of March 31, 2025 converted using the FX spot rate 1.08.</w:t>
      </w:r>
    </w:p>
    <w:p>
      <w:pPr>
        <w:spacing w:after="0"/>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8"/>
          <w:szCs w:val="18"/>
          <w:i w:val="1"/>
          <w:iCs w:val="1"/>
          <w:color w:val="auto"/>
          <w:vertAlign w:val="superscript"/>
        </w:rPr>
        <w:t>4</w:t>
      </w:r>
      <w:r>
        <w:rPr>
          <w:rFonts w:ascii="Times New Roman" w:cs="Times New Roman" w:eastAsia="Times New Roman" w:hAnsi="Times New Roman"/>
          <w:sz w:val="14"/>
          <w:szCs w:val="14"/>
          <w:i w:val="1"/>
          <w:iCs w:val="1"/>
          <w:color w:val="auto"/>
        </w:rPr>
        <w:t xml:space="preserve"> Represents face value of debt, not GAAP carrying value.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Getty Images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Kanner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Investorrelations@gettyimages.com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Getty Images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Anne Flanagan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563C1"/>
        </w:rPr>
        <w:t>Anne.flanagan@gettyimages.com</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lvl w:ilvl="1">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4"/>
      <w:numFmt w:val="bullet"/>
      <w:start w:val="1"/>
    </w:lvl>
  </w:abstractNum>
  <w:abstractNum w:abstractNumId="8">
    <w:nsid w:val="12200854"/>
    <w:multiLevelType w:val="hybridMultilevel"/>
    <w:lvl w:ilvl="0">
      <w:lvlJc w:val="left"/>
      <w:lvlText w:val="(%1)"/>
      <w:numFmt w:val="decimal"/>
      <w:start w:val="370"/>
    </w:lvl>
  </w:abstractNum>
  <w:abstractNum w:abstractNumId="9">
    <w:nsid w:val="4DB127F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2026-05-11T15:25:47Z</dcterms:created>
  <dcterms:modified xsi:type="dcterms:W3CDTF">2026-05-11T15:25:47Z</dcterms:modified>
</cp:coreProperties>
</file>