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6591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59130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48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Chu Chinh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GETTY IMAGES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605 5TH AVENUE SOUTH, SUITE 400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SEATTLE</w:t>
            </w:r>
          </w:p>
        </w:tc>
        <w:tc>
          <w:tcPr>
            <w:tcW w:w="106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98104</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Getty Images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GETY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80" w:type="dxa"/>
            <w:vAlign w:val="bottom"/>
            <w:tcBorders>
              <w:bottom w:val="single" w:sz="8" w:color="0000EE"/>
            </w:tcBorders>
          </w:tcPr>
          <w:p>
            <w:pPr>
              <w:spacing w:after="0"/>
              <w:rPr>
                <w:sz w:val="3"/>
                <w:szCs w:val="3"/>
                <w:color w:val="auto"/>
              </w:rPr>
            </w:pPr>
          </w:p>
        </w:tc>
        <w:tc>
          <w:tcPr>
            <w:tcW w:w="1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tcPr>
          <w:p>
            <w:pPr>
              <w:spacing w:after="0"/>
              <w:rPr>
                <w:sz w:val="11"/>
                <w:szCs w:val="11"/>
                <w:color w:val="auto"/>
              </w:rPr>
            </w:pPr>
          </w:p>
        </w:tc>
        <w:tc>
          <w:tcPr>
            <w:tcW w:w="13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03/20/2024</w:t>
            </w: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13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0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160"/>
          </w:cols>
          <w:pgMar w:left="460" w:top="219" w:right="439" w:bottom="486"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3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3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CC</w:t>
            </w:r>
          </w:p>
        </w:tc>
        <w:tc>
          <w:tcPr>
            <w:tcW w:w="0" w:type="dxa"/>
            <w:vAlign w:val="bottom"/>
          </w:tcPr>
          <w:p>
            <w:pPr>
              <w:spacing w:after="0"/>
              <w:rPr>
                <w:sz w:val="1"/>
                <w:szCs w:val="1"/>
                <w:color w:val="auto"/>
              </w:rPr>
            </w:pPr>
          </w:p>
        </w:tc>
      </w:tr>
      <w:tr>
        <w:trPr>
          <w:trHeight w:val="213"/>
        </w:trPr>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03/20/2024</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7"/>
                <w:szCs w:val="17"/>
                <w:color w:val="0000FF"/>
              </w:rPr>
              <w:t>238,520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4.9452</w:t>
            </w:r>
            <w:r>
              <w:rPr>
                <w:rFonts w:ascii="Times New Roman" w:cs="Times New Roman" w:eastAsia="Times New Roman" w:hAnsi="Times New Roman"/>
                <w:sz w:val="22"/>
                <w:szCs w:val="22"/>
                <w:color w:val="008000"/>
                <w:vertAlign w:val="superscript"/>
              </w:rPr>
              <w:t>(2)</w:t>
            </w:r>
          </w:p>
        </w:tc>
        <w:tc>
          <w:tcPr>
            <w:tcW w:w="112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6"/>
              </w:rPr>
              <w:t>9,598,182</w:t>
            </w:r>
            <w:r>
              <w:rPr>
                <w:rFonts w:ascii="Times New Roman" w:cs="Times New Roman" w:eastAsia="Times New Roman" w:hAnsi="Times New Roman"/>
                <w:sz w:val="22"/>
                <w:szCs w:val="22"/>
                <w:color w:val="008000"/>
                <w:w w:val="96"/>
                <w:vertAlign w:val="superscript"/>
              </w:rPr>
              <w:t>(3)</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88"/>
        </w:trPr>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SP, LP</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52"/>
        </w:trPr>
        <w:tc>
          <w:tcPr>
            <w:tcW w:w="2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CC</w:t>
            </w:r>
          </w:p>
        </w:tc>
        <w:tc>
          <w:tcPr>
            <w:tcW w:w="0" w:type="dxa"/>
            <w:vAlign w:val="bottom"/>
          </w:tcPr>
          <w:p>
            <w:pPr>
              <w:spacing w:after="0"/>
              <w:rPr>
                <w:sz w:val="1"/>
                <w:szCs w:val="1"/>
                <w:color w:val="auto"/>
              </w:rPr>
            </w:pPr>
          </w:p>
        </w:tc>
      </w:tr>
      <w:tr>
        <w:trPr>
          <w:trHeight w:val="213"/>
        </w:trPr>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03/21/2024</w:t>
            </w:r>
          </w:p>
        </w:tc>
        <w:tc>
          <w:tcPr>
            <w:tcW w:w="114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80" w:type="dxa"/>
            <w:vAlign w:val="bottom"/>
          </w:tcPr>
          <w:p>
            <w:pPr>
              <w:jc w:val="right"/>
              <w:ind w:right="29"/>
              <w:spacing w:after="0"/>
              <w:rPr>
                <w:sz w:val="20"/>
                <w:szCs w:val="20"/>
                <w:color w:val="auto"/>
              </w:rPr>
            </w:pPr>
            <w:r>
              <w:rPr>
                <w:rFonts w:ascii="Times New Roman" w:cs="Times New Roman" w:eastAsia="Times New Roman" w:hAnsi="Times New Roman"/>
                <w:sz w:val="17"/>
                <w:szCs w:val="17"/>
                <w:color w:val="0000FF"/>
              </w:rPr>
              <w:t>193,670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6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4.8063</w:t>
            </w:r>
            <w:r>
              <w:rPr>
                <w:rFonts w:ascii="Times New Roman" w:cs="Times New Roman" w:eastAsia="Times New Roman" w:hAnsi="Times New Roman"/>
                <w:sz w:val="22"/>
                <w:szCs w:val="22"/>
                <w:color w:val="008000"/>
                <w:vertAlign w:val="superscript"/>
              </w:rPr>
              <w:t>(5)</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9,404,512</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88"/>
        </w:trPr>
        <w:tc>
          <w:tcPr>
            <w:tcW w:w="238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SP, LP</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52"/>
        </w:trPr>
        <w:tc>
          <w:tcPr>
            <w:tcW w:w="23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CC</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NB</w:t>
            </w:r>
          </w:p>
        </w:tc>
        <w:tc>
          <w:tcPr>
            <w:tcW w:w="0" w:type="dxa"/>
            <w:vAlign w:val="bottom"/>
          </w:tcPr>
          <w:p>
            <w:pPr>
              <w:spacing w:after="0"/>
              <w:rPr>
                <w:sz w:val="1"/>
                <w:szCs w:val="1"/>
                <w:color w:val="auto"/>
              </w:rPr>
            </w:pPr>
          </w:p>
        </w:tc>
      </w:tr>
      <w:tr>
        <w:trPr>
          <w:trHeight w:val="233"/>
        </w:trPr>
        <w:tc>
          <w:tcPr>
            <w:tcW w:w="23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20" w:type="dxa"/>
            <w:vAlign w:val="bottom"/>
          </w:tcPr>
          <w:p>
            <w:pPr>
              <w:jc w:val="center"/>
              <w:spacing w:after="0" w:line="233" w:lineRule="exact"/>
              <w:rPr>
                <w:sz w:val="20"/>
                <w:szCs w:val="20"/>
                <w:color w:val="auto"/>
              </w:rPr>
            </w:pPr>
            <w:r>
              <w:rPr>
                <w:rFonts w:ascii="Times New Roman" w:cs="Times New Roman" w:eastAsia="Times New Roman" w:hAnsi="Times New Roman"/>
                <w:sz w:val="17"/>
                <w:szCs w:val="17"/>
                <w:color w:val="0000FF"/>
                <w:w w:val="96"/>
              </w:rPr>
              <w:t>7,196,496</w:t>
            </w:r>
            <w:r>
              <w:rPr>
                <w:rFonts w:ascii="Times New Roman" w:cs="Times New Roman" w:eastAsia="Times New Roman" w:hAnsi="Times New Roman"/>
                <w:sz w:val="22"/>
                <w:szCs w:val="22"/>
                <w:color w:val="008000"/>
                <w:w w:val="96"/>
                <w:vertAlign w:val="superscript"/>
              </w:rPr>
              <w:t>(3)</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Sponsor</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2</w:t>
      </w:r>
    </w:p>
    <w:p>
      <w:pPr>
        <w:spacing w:after="0" w:line="11" w:lineRule="exact"/>
        <w:rPr>
          <w:sz w:val="24"/>
          <w:szCs w:val="24"/>
          <w:color w:val="auto"/>
        </w:rPr>
      </w:pPr>
    </w:p>
    <w:p>
      <w:pPr>
        <w:ind w:left="10260"/>
        <w:spacing w:after="0"/>
        <w:rPr>
          <w:sz w:val="20"/>
          <w:szCs w:val="20"/>
          <w:color w:val="auto"/>
        </w:rPr>
      </w:pPr>
      <w:r>
        <w:rPr>
          <w:rFonts w:ascii="Times New Roman" w:cs="Times New Roman" w:eastAsia="Times New Roman" w:hAnsi="Times New Roman"/>
          <w:sz w:val="17"/>
          <w:szCs w:val="17"/>
          <w:color w:val="0000FF"/>
        </w:rPr>
        <w:t>Holdings</w:t>
      </w:r>
    </w:p>
    <w:p>
      <w:pPr>
        <w:ind w:left="10260"/>
        <w:spacing w:after="0" w:line="185" w:lineRule="auto"/>
        <w:rPr>
          <w:sz w:val="20"/>
          <w:szCs w:val="20"/>
          <w:color w:val="auto"/>
        </w:rPr>
      </w:pPr>
      <w:r>
        <w:rPr>
          <w:rFonts w:ascii="Times New Roman" w:cs="Times New Roman" w:eastAsia="Times New Roman" w:hAnsi="Times New Roman"/>
          <w:sz w:val="26"/>
          <w:szCs w:val="26"/>
          <w:color w:val="0000FF"/>
          <w:vertAlign w:val="subscript"/>
        </w:rPr>
        <w:t>LLC</w:t>
      </w:r>
      <w:r>
        <w:rPr>
          <w:rFonts w:ascii="Times New Roman" w:cs="Times New Roman" w:eastAsia="Times New Roman" w:hAnsi="Times New Roman"/>
          <w:sz w:val="10"/>
          <w:szCs w:val="10"/>
          <w:color w:val="008000"/>
        </w:rPr>
        <w:t>(6)</w:t>
      </w:r>
    </w:p>
    <w:p>
      <w:pPr>
        <w:spacing w:after="0" w:line="14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sales were effected pursuant to a Rule 10b5-1 trading plan adopted by CC Capital SP, LP on November 28, 2023.</w:t>
      </w:r>
    </w:p>
    <w:p>
      <w:pPr>
        <w:spacing w:after="0" w:line="50"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$4.8000 to $5.0100. The Reporting Person undertakes to provide to the Issuer, any security holders of the Issuer, or the staff of the Securities and Exchange Commission, upon request, full information regarding the number of shares sold at each price within this range.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amount gives effect to a transfer of 9,836,702 shares from CC NB Sponsor 2 Holdings LLC to CC Capital SP, LP in a change in form that is exempt pursuant to Rule 16a-13.</w:t>
      </w:r>
    </w:p>
    <w:p>
      <w:pPr>
        <w:spacing w:after="0" w:line="50"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held by CC Capital SP, LP, which is controlled by the Reporting Person. The Reporting Person disclaims beneficial ownership of the reported securities except to the extent of his pecuniary interest therein.</w:t>
      </w:r>
    </w:p>
    <w:p>
      <w:pPr>
        <w:spacing w:after="0" w:line="7" w:lineRule="exact"/>
        <w:rPr>
          <w:rFonts w:ascii="Times New Roman" w:cs="Times New Roman" w:eastAsia="Times New Roman" w:hAnsi="Times New Roman"/>
          <w:sz w:val="13"/>
          <w:szCs w:val="13"/>
          <w:color w:val="008000"/>
        </w:rPr>
      </w:pPr>
    </w:p>
    <w:p>
      <w:pPr>
        <w:ind w:left="40" w:right="1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$4.6500 to $4.9600. The Reporting Person undertakes to provide to the Issuer, any security holders of the Issuer, or the staff of the Securities and Exchange Commission, upon request, full information regarding the number of shares sold at each price within this range.</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held by CC NB Sponsor 2 Holdings LLC, a wholly owned subsidiary of CC Capital SP, LP. CC Capital SP, LP is controlled by the Reporting Person. The Reporting Person disclaims beneficial ownership of the reported securities except to the extent of his pecuniary interest therein.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Chinh Chu</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03/22/2024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4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06507" TargetMode="External"/><Relationship Id="rId13" Type="http://schemas.openxmlformats.org/officeDocument/2006/relationships/hyperlink" Target="http://www.sec.gov/cgi-bin/browse-edgar?action=getcompany&amp;CIK=00018984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2024-03-22T16:24:03Z</dcterms:created>
  <dcterms:modified xsi:type="dcterms:W3CDTF">2024-03-22T16:24:03Z</dcterms:modified>
</cp:coreProperties>
</file>