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2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82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May 15, 2026</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Getty Images Holdings, Inc.</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2820" w:type="dxa"/>
            <w:vAlign w:val="bottom"/>
          </w:tcPr>
          <w:p>
            <w:pPr>
              <w:spacing w:after="0"/>
              <w:rPr>
                <w:sz w:val="20"/>
                <w:szCs w:val="20"/>
                <w:color w:val="auto"/>
              </w:rPr>
            </w:pPr>
          </w:p>
        </w:tc>
      </w:tr>
      <w:tr>
        <w:trPr>
          <w:trHeight w:val="452"/>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001-41453</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87-3764229</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6"/>
              </w:rPr>
              <w:t>605 5</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Ave S. Suite 400</w:t>
            </w:r>
          </w:p>
        </w:tc>
        <w:tc>
          <w:tcPr>
            <w:tcW w:w="28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Seattle, WA 98104</w:t>
            </w:r>
          </w:p>
        </w:tc>
        <w:tc>
          <w:tcPr>
            <w:tcW w:w="282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(206) 925-5000</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GETY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May 15, 2026, the UK Competition and Markets Authority (the “CMA”) issued its final report in connection with its Phase 2 review of Getty Images Holdings, Inc.’s (“Getty Images”) previously announced merger with Shutterstock Inc. (“Shutterstock”).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statements in this document,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document relate to, among other things, obtaining applicable regulatory approvals on a timely basis or otherwise. A more fulsome discussion of the risks related to the proposed transaction has been included in the information statement and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2025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on March 31, 2025, Getty Images filed with the Securities and Exchange Commission (the “SEC”) a preliminary registration statement on Form S-4 that includes an information statement of Getty Images and a proxy statement of Shutterstock and that also constitutes a prospectus with respect to shares of Getty Images’ common stock to be issued in the proposed transaction (the “information statement and proxy statement/prospectus”). The registration statement was amended in a pre-effective amendment on Form S-4/A on April 28, 2025. The registration statement, as amended, was declared effective on April 30, 2025, and Getty Images filed a final prospectus on April 30, 2025. Each of Getty Images and Shutterstock may also file with or furnish to the SEC other relevant documents regarding the proposed transaction. This communication is not a substitute for the information statement and proxy statement/prospectus or any other document that Getty Images or Shutterstock has filed or may file with or furnish to the SEC.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may obtain free copies of the information statement and definitive proxy statement/prospectus and other documents containing important information about Getty Images, Shutterstock and the proposed transaction through the website maintained by the SEC 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Shutterstock are available free of charge on Shutterstock’s website at investor. shutterstock.com or by contacting Shutterstock’s Investor Relations department by email at IR@Shutterstock.com.</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GETTY IMAGES HOLDINGS, INC.</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Kjelti Kellough</w:t>
            </w:r>
          </w:p>
        </w:tc>
      </w:tr>
      <w:tr>
        <w:trPr>
          <w:trHeight w:val="198"/>
        </w:trPr>
        <w:tc>
          <w:tcPr>
            <w:tcW w:w="3540" w:type="dxa"/>
            <w:vAlign w:val="bottom"/>
          </w:tcPr>
          <w:p>
            <w:pPr>
              <w:spacing w:after="0"/>
              <w:rPr>
                <w:sz w:val="17"/>
                <w:szCs w:val="17"/>
                <w:color w:val="auto"/>
              </w:rPr>
            </w:pPr>
          </w:p>
        </w:tc>
        <w:tc>
          <w:tcPr>
            <w:tcW w:w="3780" w:type="dxa"/>
            <w:vAlign w:val="bottom"/>
          </w:tcPr>
          <w:p>
            <w:pPr>
              <w:ind w:left="3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Kjelti Kellough</w:t>
            </w:r>
          </w:p>
        </w:tc>
      </w:tr>
      <w:tr>
        <w:trPr>
          <w:trHeight w:val="216"/>
        </w:trPr>
        <w:tc>
          <w:tcPr>
            <w:tcW w:w="3540" w:type="dxa"/>
            <w:vAlign w:val="bottom"/>
          </w:tcPr>
          <w:p>
            <w:pPr>
              <w:spacing w:after="0"/>
              <w:rPr>
                <w:sz w:val="18"/>
                <w:szCs w:val="18"/>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w:t>
            </w:r>
          </w:p>
        </w:tc>
      </w:tr>
      <w:tr>
        <w:trPr>
          <w:trHeight w:val="234"/>
        </w:trPr>
        <w:tc>
          <w:tcPr>
            <w:tcW w:w="35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655"/>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2026-05-15T06:25:28Z</dcterms:created>
  <dcterms:modified xsi:type="dcterms:W3CDTF">2026-05-15T06:25:28Z</dcterms:modified>
</cp:coreProperties>
</file>