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0282-1_4seq1.xml.htm"/>
      <w:bookmarkStart w:id="1" w:name="kstm241028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Chu Chinh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GETTY IMAGES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 5TH AVENUE SOUTH,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Getty Images Holdings, Inc.</w:t>
              </w:r>
            </w:hyperlink>
            <w:r>
              <w:rPr/>
              <w:t xml:space="preserve"> [ </w:t>
            </w:r>
            <w:r>
              <w:rPr>
                <w:rFonts w:ascii="Times;serif" w:hAnsi="Times;serif"/>
                <w:color w:val="0000FF"/>
                <w:sz w:val="24"/>
                <w:shd w:fill="FFFFFF" w:val="clear"/>
              </w:rPr>
              <w:t>GETY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02"/>
        <w:gridCol w:w="774"/>
        <w:gridCol w:w="599"/>
        <w:gridCol w:w="340"/>
        <w:gridCol w:w="909"/>
        <w:gridCol w:w="432"/>
        <w:gridCol w:w="880"/>
        <w:gridCol w:w="1250"/>
        <w:gridCol w:w="970"/>
        <w:gridCol w:w="10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03/28/2024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92,029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4.1409</w:t>
            </w:r>
            <w:r>
              <w:rPr>
                <w:rFonts w:ascii="Times;serif" w:hAnsi="Times;serif"/>
                <w:color w:val="008000"/>
                <w:position w:val="7"/>
                <w:sz w:val="16"/>
                <w:sz w:val="20"/>
                <w:shd w:fill="FFFFFF" w:val="clear"/>
              </w:rPr>
              <w:t>(2)</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8,818,825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CC Capital SP, LP</w:t>
            </w:r>
            <w:r>
              <w:rPr>
                <w:rFonts w:ascii="Times;serif" w:hAnsi="Times;serif"/>
                <w:color w:val="008000"/>
                <w:position w:val="7"/>
                <w:sz w:val="16"/>
                <w:sz w:val="20"/>
                <w:shd w:fill="FFFFFF" w:val="clear"/>
              </w:rPr>
              <w:t>(3)</w:t>
            </w:r>
            <w:r>
              <w:rPr/>
              <w:t xml:space="preserve"> </w:t>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7,196,496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CC NB Sponsor 2 Holdings LLC</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pursuant to a Rule 10b5-1 trading plan adopted by CC Capital SP, LP on November 28,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$4.0500 to $4.2300. The Reporting Person undertakes to provide to the Issuer, any security holders of the Issuer, or the staff of the Securities and Exchange Commission, upon request, full information regarding the number of shares sold at each price within this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directly held by CC Capital SP, LP, which is controlled by the Reporting Person.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are directly held by CC NB Sponsor 2 Holdings LLC, a wholly owned subsidiary of CC Capital SP, LP. CC Capital SP, LP is controlled by the Reporting Person.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 Skurbe, as attorney-in-fact for Chinh Chu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6507" TargetMode="External"/><Relationship Id="rId4" Type="http://schemas.openxmlformats.org/officeDocument/2006/relationships/hyperlink" Target="http://www.sec.gov/cgi-bin/browse-edgar?action=getcompany&amp;CIK=000189849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4063</Characters>
  <CharactersWithSpaces>4755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