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40" w:type="dxa"/>
            <w:vAlign w:val="bottom"/>
          </w:tcPr>
          <w:p>
            <w:pPr>
              <w:spacing w:after="0"/>
              <w:rPr>
                <w:sz w:val="20"/>
                <w:szCs w:val="20"/>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4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84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84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4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June 30, 2026</w:t>
            </w:r>
          </w:p>
        </w:tc>
        <w:tc>
          <w:tcPr>
            <w:tcW w:w="284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Getty Images Holdings, Inc.</w:t>
            </w:r>
          </w:p>
        </w:tc>
        <w:tc>
          <w:tcPr>
            <w:tcW w:w="284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2840" w:type="dxa"/>
            <w:vAlign w:val="bottom"/>
          </w:tcPr>
          <w:p>
            <w:pPr>
              <w:spacing w:after="0"/>
              <w:rPr>
                <w:sz w:val="20"/>
                <w:szCs w:val="20"/>
                <w:color w:val="auto"/>
              </w:rPr>
            </w:pPr>
          </w:p>
        </w:tc>
      </w:tr>
      <w:tr>
        <w:trPr>
          <w:trHeight w:val="452"/>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001-41453</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87-3764229</w:t>
            </w:r>
          </w:p>
        </w:tc>
      </w:tr>
      <w:tr>
        <w:trPr>
          <w:trHeight w:val="198"/>
        </w:trPr>
        <w:tc>
          <w:tcPr>
            <w:tcW w:w="2940" w:type="dxa"/>
            <w:vAlign w:val="bottom"/>
            <w:tcBorders>
              <w:top w:val="single" w:sz="8" w:color="auto"/>
            </w:tcBorders>
          </w:tcPr>
          <w:p>
            <w:pPr>
              <w:jc w:val="center"/>
              <w:ind w:left="5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6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605 5th Ave S. Suite 400</w:t>
            </w:r>
          </w:p>
        </w:tc>
        <w:tc>
          <w:tcPr>
            <w:tcW w:w="284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Seattle, WA 98104</w:t>
            </w:r>
          </w:p>
        </w:tc>
        <w:tc>
          <w:tcPr>
            <w:tcW w:w="284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54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84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4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(206) 925-5000</w:t>
            </w:r>
          </w:p>
        </w:tc>
        <w:tc>
          <w:tcPr>
            <w:tcW w:w="284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4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54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4660" w:type="dxa"/>
            <w:vAlign w:val="bottom"/>
            <w:gridSpan w:val="3"/>
            <w:shd w:val="clear" w:color="auto" w:fill="CCEEFF"/>
          </w:tcPr>
          <w:p>
            <w:pPr>
              <w:jc w:val="center"/>
              <w:ind w:right="1040"/>
              <w:spacing w:after="0"/>
              <w:rPr>
                <w:sz w:val="20"/>
                <w:szCs w:val="20"/>
                <w:color w:val="auto"/>
              </w:rPr>
            </w:pPr>
            <w:r>
              <w:rPr>
                <w:rFonts w:ascii="Times New Roman" w:cs="Times New Roman" w:eastAsia="Times New Roman" w:hAnsi="Times New Roman"/>
                <w:sz w:val="18"/>
                <w:szCs w:val="18"/>
                <w:color w:val="auto"/>
              </w:rPr>
              <w:t>Class A Common Stock</w:t>
            </w:r>
          </w:p>
        </w:tc>
        <w:tc>
          <w:tcPr>
            <w:tcW w:w="2780" w:type="dxa"/>
            <w:vAlign w:val="bottom"/>
            <w:shd w:val="clear" w:color="auto" w:fill="CCEEFF"/>
          </w:tcPr>
          <w:p>
            <w:pPr>
              <w:jc w:val="center"/>
              <w:ind w:right="730"/>
              <w:spacing w:after="0"/>
              <w:rPr>
                <w:sz w:val="20"/>
                <w:szCs w:val="20"/>
                <w:color w:val="auto"/>
              </w:rPr>
            </w:pPr>
            <w:r>
              <w:rPr>
                <w:rFonts w:ascii="Times New Roman" w:cs="Times New Roman" w:eastAsia="Times New Roman" w:hAnsi="Times New Roman"/>
                <w:sz w:val="18"/>
                <w:szCs w:val="18"/>
                <w:color w:val="auto"/>
                <w:w w:val="99"/>
              </w:rPr>
              <w:t>GETY</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previously announced, on January 6, 2025, Getty Images Holdings, Inc. (“</w:t>
      </w:r>
      <w:r>
        <w:rPr>
          <w:rFonts w:ascii="Times New Roman" w:cs="Times New Roman" w:eastAsia="Times New Roman" w:hAnsi="Times New Roman"/>
          <w:sz w:val="18"/>
          <w:szCs w:val="18"/>
          <w:u w:val="single" w:color="auto"/>
          <w:color w:val="auto"/>
        </w:rPr>
        <w:t>Getty Images</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Getty Images, Shutterstock, Inc. (“</w:t>
      </w:r>
      <w:r>
        <w:rPr>
          <w:rFonts w:ascii="Times New Roman" w:cs="Times New Roman" w:eastAsia="Times New Roman" w:hAnsi="Times New Roman"/>
          <w:sz w:val="18"/>
          <w:szCs w:val="18"/>
          <w:u w:val="single" w:color="auto"/>
          <w:color w:val="auto"/>
        </w:rPr>
        <w:t>Shutterstock</w:t>
      </w:r>
      <w:r>
        <w:rPr>
          <w:rFonts w:ascii="Times New Roman" w:cs="Times New Roman" w:eastAsia="Times New Roman" w:hAnsi="Times New Roman"/>
          <w:sz w:val="18"/>
          <w:szCs w:val="18"/>
          <w:color w:val="auto"/>
        </w:rPr>
        <w:t>”) and certain merger subsidiaries thereof.</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After reviewing the proposed merger, the U.K. Competition and Markets Authority (the “</w:t>
      </w:r>
      <w:r>
        <w:rPr>
          <w:rFonts w:ascii="Times New Roman" w:cs="Times New Roman" w:eastAsia="Times New Roman" w:hAnsi="Times New Roman"/>
          <w:sz w:val="18"/>
          <w:szCs w:val="18"/>
          <w:u w:val="single" w:color="auto"/>
          <w:color w:val="auto"/>
        </w:rPr>
        <w:t>CMA</w:t>
      </w:r>
      <w:r>
        <w:rPr>
          <w:rFonts w:ascii="Times New Roman" w:cs="Times New Roman" w:eastAsia="Times New Roman" w:hAnsi="Times New Roman"/>
          <w:sz w:val="18"/>
          <w:szCs w:val="18"/>
          <w:color w:val="auto"/>
        </w:rPr>
        <w:t>”) conditioned its required clearance of the transactions contemplated by the Merger Agreement upon a sale of Shutterstock’s editorial business. Getty Images is not required to accept that condition under the terms of the Merger Agreement.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June 30, 2026, the Board of Directors of Getty Images (the “</w:t>
      </w:r>
      <w:r>
        <w:rPr>
          <w:rFonts w:ascii="Times New Roman" w:cs="Times New Roman" w:eastAsia="Times New Roman" w:hAnsi="Times New Roman"/>
          <w:sz w:val="18"/>
          <w:szCs w:val="18"/>
          <w:u w:val="single" w:color="auto"/>
          <w:color w:val="auto"/>
        </w:rPr>
        <w:t>Getty Images Board</w:t>
      </w:r>
      <w:r>
        <w:rPr>
          <w:rFonts w:ascii="Times New Roman" w:cs="Times New Roman" w:eastAsia="Times New Roman" w:hAnsi="Times New Roman"/>
          <w:sz w:val="18"/>
          <w:szCs w:val="18"/>
          <w:color w:val="auto"/>
        </w:rPr>
        <w:t>”) unanimously resolved (a) not to proceed with the process to sell Shutterstock’s editorial business under the supervision of the CMA, and (b) to terminate the Merger Agreement following the passage of the Second Extended End Date (as defined in the Merger Agreement) on July 6, 2026, assuming no material change in the aforementioned circumstances prior to July 7, 2026. Following termination of the Merger Agreement, Getty Images, Inc.’s 10.500% senior secured notes due 2030 (the “</w:t>
      </w:r>
      <w:r>
        <w:rPr>
          <w:rFonts w:ascii="Times New Roman" w:cs="Times New Roman" w:eastAsia="Times New Roman" w:hAnsi="Times New Roman"/>
          <w:sz w:val="18"/>
          <w:szCs w:val="18"/>
          <w:u w:val="single" w:color="auto"/>
          <w:color w:val="auto"/>
        </w:rPr>
        <w:t>Senior Secured Notes</w:t>
      </w:r>
      <w:r>
        <w:rPr>
          <w:rFonts w:ascii="Times New Roman" w:cs="Times New Roman" w:eastAsia="Times New Roman" w:hAnsi="Times New Roman"/>
          <w:sz w:val="18"/>
          <w:szCs w:val="18"/>
          <w:color w:val="auto"/>
        </w:rPr>
        <w:t>”) will be redeemed in accordance with a special mandatory redemption pursuant to the Senior Secured Notes indenture dated as of October 21, 2025.</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Getty Images Board also intends to retain a financial advisor to advise the Getty Images Board on strategic financing alternatives available to Getty Images.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statements in this document,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document relate to, among other things, obtaining applicable regulatory approvals on a timely basis or otherwise, the possibility that the proposed transaction may be terminated subject to changes in facts, circumstances or developments prior to the outside date, including any changes to the scope or nature of any regulatory undertakings, and the ability of Getty Images to identify, engage and agree on terms with third-party advisors, including financial advisors, in connection with the evaluation of strategic alternatives. A more fulsome discussion of the risks related to the proposed transaction has been included in the information statement and proxy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2025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on March 31, 2025, Getty Images filed with the Securities and Exchange Commission (the “SEC”) a preliminary registration statement on Form S-4 that includes an information statement of Getty Images and a proxy statement of Shutterstock and that also constitutes a prospectus with respect to shares of Getty Images’ common stock to be issued in the proposed transaction (the “information statement and proxy statement/prospectus”). The registration statement was amended in a pre-effective amendment on Form S-4/A on April 28, 2025. The registration statement, as amended, was declared effective on April 30, 2025, and Getty Images filed a final prospectus on April 30, 2025. Each of Getty Images and Shutterstock may also file with or furnish to the SEC other relevant documents regarding the proposed transaction. This communication is not a substitute for the information statement and proxy statement/prospectus or any other document that Getty Images or Shutterstock has filed or may file with or furnish to the SEC. BEFORE MAKING ANY VOTING OR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may obtain free copies of the information statement and definitive proxy statement/prospectus and other documents containing important information about Getty Images, Shutterstock and the proposed transaction through the website maintained by the SEC at www.sec.gov. Copies of the documents filed with or furnished to the SEC by Getty Images are available free of charge on Getty Images’ website at investors.gettyimages.com or by contacting Getty Images’ Investor Relations department by email at investorrelations@gettyimages.com. Copies of the documents filed with or furnished to the SEC by Shutterstock are available free of charge on Shutterstock’s website at investor. shutterstock.com or by contacting Shutterstock’s Investor Relations department by email at IR@Shutterstock.com.</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GETTY IMAGES HOLDINGS, INC.</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30,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Kjelti Kellough</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Kjelti Kellough</w:t>
            </w:r>
          </w:p>
        </w:tc>
      </w:tr>
      <w:tr>
        <w:trPr>
          <w:trHeight w:val="216"/>
        </w:trPr>
        <w:tc>
          <w:tcPr>
            <w:tcW w:w="3520" w:type="dxa"/>
            <w:vAlign w:val="bottom"/>
          </w:tcPr>
          <w:p>
            <w:pPr>
              <w:spacing w:after="0"/>
              <w:rPr>
                <w:sz w:val="18"/>
                <w:szCs w:val="18"/>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w:t>
            </w:r>
          </w:p>
        </w:tc>
      </w:tr>
      <w:tr>
        <w:trPr>
          <w:trHeight w:val="234"/>
        </w:trPr>
        <w:tc>
          <w:tcPr>
            <w:tcW w:w="35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2026-06-30T17:48:36Z</dcterms:created>
  <dcterms:modified xsi:type="dcterms:W3CDTF">2026-06-30T17:48:36Z</dcterms:modified>
</cp:coreProperties>
</file>