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15,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October 27, 2023, the United States District Court for the Southern District of New York (the “Court”) issued a decision in the actions brought by Alta Partners, LLC (“Alta”) and CRCM Institutional Master Fund (BVI), LTD parties (“CRCM” and together with Alta, the “Plaintiffs”) captioned Alta Partners, LLC v. Getty Images Holdings, Inc., Case No. 1:22-cv-08916 (filed October 19, 2022), and CRCM Institutional Master Fund (BVI) LTD, et al. v. Getty Images Holdings, Inc., Case No. 1:23-cv-01074 (filed February 8, 2023) (together, the “Initial Warrant Litigation”) on cross-motions for summary judgment and entered judgment in favor of Plaintiffs on their breach of contract claims and, in accordance with Plaintiffs’ calculations, awarded damages in the amount of $36.9 million for Alta with respect to 2,066,371 public warrants that it owned as of the purported exercise date and $51.0 million for CRCM with respect to 3,010,764 public warrants that they owned as of the purported exercise date, plus, in each case, pre-judgment interest of 9% per annum. The Court entered judgment in favor of the Company on all other claims asserted by Plaintiffs including a similar breach of contract claim by Alta with respect to 11,593,149 public warrants that Alta had purchased in the open market after the date on which it had purported to exercise warrants and before the warrants were redeemed by the Company, and for which Alta sought the same per warrant money damages. As further previously disclosed, the Company appealed the portion of the Court’s judgment in favor of Plaintiffs and Alta cross-appealed the portion of the Court’s judgment in favor of the Company with respect to the later-acquired public warrants.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Opinion issued on January 15, 2026, the United States Court of Appeals for the Second Circuit affirmed the Court’s opinion and judgment in all respects, with one judge dissenting. The Company is reviewing the decision and evaluating any next steps. In 2023, the Company recorded a loss on litigation relating to this matter based on the criteria under ASC 450 - Contingencies (“ASC 450”) and has maintained a litigation reserve covering the full amount of this judgment and related interest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its existing customers; the user experience of our customers on our websites; the extent to which we are able to maintain and expand the breadth and quality of our content library through content licensed from third-party suppliers, content acquisitions and imagery captured by its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judgements,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 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those factors discussed under the heading “Item 1.A. Risk Factors” of our most recently filed Annual Report on Form 10-K. If any of these risks materialize or our assumptions prove incorrect, actual results could differ materially from the results implied by these forward-looking statements.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most recently filed Annual Report on Form 10-K and in our other filings with the SEC. The risks described under the heading “Item 1.A. Risk Factors” in our most recently filed Annual Report on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2026</w:t>
            </w: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620" w:type="dxa"/>
            <w:vAlign w:val="bottom"/>
          </w:tcPr>
          <w:p>
            <w:pPr>
              <w:spacing w:after="0"/>
              <w:rPr>
                <w:sz w:val="17"/>
                <w:szCs w:val="17"/>
                <w:color w:val="auto"/>
              </w:rPr>
            </w:pPr>
          </w:p>
        </w:tc>
        <w:tc>
          <w:tcPr>
            <w:tcW w:w="370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620" w:type="dxa"/>
            <w:vAlign w:val="bottom"/>
          </w:tcPr>
          <w:p>
            <w:pPr>
              <w:spacing w:after="0"/>
              <w:rPr>
                <w:sz w:val="18"/>
                <w:szCs w:val="18"/>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2026-01-16T06:04:32Z</dcterms:created>
  <dcterms:modified xsi:type="dcterms:W3CDTF">2026-01-16T06:04:32Z</dcterms:modified>
</cp:coreProperties>
</file>