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Teaster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GETTY IMAGES HOLDINGS,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605 5TH AVENUE SOUTH, SUITE 400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SEATTLE</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WA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98104</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Getty Images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GETY</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214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140" w:type="dxa"/>
            <w:vAlign w:val="bottom"/>
            <w:gridSpan w:val="2"/>
            <w:vMerge w:val="continue"/>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80" w:type="dxa"/>
            <w:vAlign w:val="bottom"/>
            <w:tcBorders>
              <w:bottom w:val="single" w:sz="8" w:color="0000EE"/>
            </w:tcBorders>
          </w:tcPr>
          <w:p>
            <w:pPr>
              <w:spacing w:after="0"/>
              <w:rPr>
                <w:sz w:val="3"/>
                <w:szCs w:val="3"/>
                <w:color w:val="auto"/>
              </w:rPr>
            </w:pPr>
          </w:p>
        </w:tc>
        <w:tc>
          <w:tcPr>
            <w:tcW w:w="1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94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94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280" w:type="dxa"/>
            <w:vAlign w:val="bottom"/>
            <w:tcBorders>
              <w:bottom w:val="single" w:sz="8" w:color="2C2C2C"/>
            </w:tcBorders>
          </w:tcPr>
          <w:p>
            <w:pPr>
              <w:spacing w:after="0"/>
              <w:rPr>
                <w:sz w:val="2"/>
                <w:szCs w:val="2"/>
                <w:color w:val="auto"/>
              </w:rPr>
            </w:pPr>
          </w:p>
        </w:tc>
        <w:tc>
          <w:tcPr>
            <w:tcW w:w="134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194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2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0"/>
                <w:szCs w:val="10"/>
                <w:color w:val="auto"/>
              </w:rPr>
            </w:pPr>
          </w:p>
        </w:tc>
        <w:tc>
          <w:tcPr>
            <w:tcW w:w="194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940" w:type="dxa"/>
            <w:vAlign w:val="bottom"/>
            <w:vMerge w:val="restart"/>
          </w:tcPr>
          <w:p>
            <w:pPr>
              <w:ind w:left="980"/>
              <w:spacing w:after="0"/>
              <w:rPr>
                <w:sz w:val="20"/>
                <w:szCs w:val="20"/>
                <w:color w:val="auto"/>
              </w:rPr>
            </w:pPr>
            <w:r>
              <w:rPr>
                <w:rFonts w:ascii="Times New Roman" w:cs="Times New Roman" w:eastAsia="Times New Roman" w:hAnsi="Times New Roman"/>
                <w:sz w:val="17"/>
                <w:szCs w:val="17"/>
                <w:color w:val="0000FF"/>
              </w:rPr>
              <w:t>Chief of Staff</w:t>
            </w:r>
          </w:p>
        </w:tc>
        <w:tc>
          <w:tcPr>
            <w:tcW w:w="1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24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09/24/2024</w:t>
            </w: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vMerge w:val="continue"/>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28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09/24/2024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1,283</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3.61</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234,278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non-discretionary sales to cover mandatory tax withholding obligations in connection with the vesting and settlement of restricted stock units reported in this Form 4 were effected pursuant to Rule 10b5-1 trading plan instructions adopted in connection by the Reporting Person in the award agreement, dated March 16, 2023, for the restricted stock units grants.</w:t>
      </w:r>
    </w:p>
    <w:p>
      <w:pPr>
        <w:spacing w:after="0" w:line="7" w:lineRule="exact"/>
        <w:rPr>
          <w:rFonts w:ascii="Times New Roman" w:cs="Times New Roman" w:eastAsia="Times New Roman" w:hAnsi="Times New Roman"/>
          <w:sz w:val="13"/>
          <w:szCs w:val="13"/>
          <w:color w:val="008000"/>
        </w:rPr>
      </w:pPr>
    </w:p>
    <w:p>
      <w:pPr>
        <w:ind w:left="40" w:right="4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$3.57 to $3.65.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24 - Power of Attorney, incorporated herein by reference</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Kjelti Kellough, as attorney </w:t>
      </w:r>
      <w:r>
        <w:rPr>
          <w:rFonts w:ascii="Times New Roman" w:cs="Times New Roman" w:eastAsia="Times New Roman" w:hAnsi="Times New Roman"/>
          <w:sz w:val="34"/>
          <w:szCs w:val="34"/>
          <w:color w:val="0000FF"/>
          <w:vertAlign w:val="subscript"/>
        </w:rPr>
        <w:t>09/26/2024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531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 fact for Michael Teaster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1652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6522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center"/>
        <w:ind w:right="119"/>
        <w:spacing w:after="0"/>
        <w:rPr>
          <w:sz w:val="20"/>
          <w:szCs w:val="20"/>
          <w:color w:val="auto"/>
        </w:rPr>
      </w:pPr>
      <w:r>
        <w:rPr>
          <w:rFonts w:ascii="Courier New" w:cs="Courier New" w:eastAsia="Courier New" w:hAnsi="Courier New"/>
          <w:sz w:val="17"/>
          <w:szCs w:val="17"/>
          <w:color w:val="auto"/>
        </w:rPr>
        <w:t>POWER OF ATTORNEY</w:t>
      </w:r>
    </w:p>
    <w:p>
      <w:pPr>
        <w:spacing w:after="0" w:line="207" w:lineRule="exact"/>
        <w:rPr>
          <w:sz w:val="20"/>
          <w:szCs w:val="20"/>
          <w:color w:val="auto"/>
        </w:rPr>
      </w:pPr>
    </w:p>
    <w:p>
      <w:pPr>
        <w:ind w:right="1779" w:firstLine="832"/>
        <w:spacing w:after="0" w:line="290"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Kjelti Kellough, Jennifer Leyden and Heather Wilde of Getty Images Holdings, Inc. (the "Company"), signing singly, with full power of substitution, the undersigned's true and lawful attorney-in-fact to:</w:t>
      </w:r>
    </w:p>
    <w:p>
      <w:pPr>
        <w:spacing w:after="0" w:line="69" w:lineRule="exact"/>
        <w:rPr>
          <w:sz w:val="20"/>
          <w:szCs w:val="20"/>
          <w:color w:val="auto"/>
        </w:rPr>
      </w:pPr>
    </w:p>
    <w:p>
      <w:pPr>
        <w:ind w:right="1779" w:firstLine="422"/>
        <w:spacing w:after="0" w:line="273" w:lineRule="auto"/>
        <w:tabs>
          <w:tab w:leader="none" w:pos="8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84" w:lineRule="exact"/>
        <w:rPr>
          <w:rFonts w:ascii="Courier New" w:cs="Courier New" w:eastAsia="Courier New" w:hAnsi="Courier New"/>
          <w:sz w:val="17"/>
          <w:szCs w:val="17"/>
          <w:color w:val="auto"/>
        </w:rPr>
      </w:pPr>
    </w:p>
    <w:p>
      <w:pPr>
        <w:ind w:right="1779" w:firstLine="422"/>
        <w:spacing w:after="0" w:line="311" w:lineRule="auto"/>
        <w:tabs>
          <w:tab w:leader="none" w:pos="8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with respect to the Company, Schedules 13D and 13G and Forms 3, 4 and 5 in accordance with Sections 13 and 16(a) of the Securities Exchange Act of 1934 and the rules thereunder;</w:t>
      </w:r>
    </w:p>
    <w:p>
      <w:pPr>
        <w:spacing w:after="0" w:line="50" w:lineRule="exact"/>
        <w:rPr>
          <w:rFonts w:ascii="Courier New" w:cs="Courier New" w:eastAsia="Courier New" w:hAnsi="Courier New"/>
          <w:sz w:val="17"/>
          <w:szCs w:val="17"/>
          <w:color w:val="auto"/>
        </w:rPr>
      </w:pPr>
    </w:p>
    <w:p>
      <w:pPr>
        <w:ind w:right="1879" w:firstLine="422"/>
        <w:spacing w:after="0" w:line="280" w:lineRule="auto"/>
        <w:tabs>
          <w:tab w:leader="none" w:pos="8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Schedules 13D or 13G or Form 3, 4 or 5, complete and execute any amendment or amendments thereto, and timely file such form with the SEC and any stock exchange or similar authority; and</w:t>
      </w:r>
    </w:p>
    <w:p>
      <w:pPr>
        <w:spacing w:after="0" w:line="75" w:lineRule="exact"/>
        <w:rPr>
          <w:rFonts w:ascii="Courier New" w:cs="Courier New" w:eastAsia="Courier New" w:hAnsi="Courier New"/>
          <w:sz w:val="17"/>
          <w:szCs w:val="17"/>
          <w:color w:val="auto"/>
        </w:rPr>
      </w:pPr>
    </w:p>
    <w:p>
      <w:pPr>
        <w:ind w:right="1679" w:firstLine="422"/>
        <w:spacing w:after="0" w:line="269" w:lineRule="auto"/>
        <w:tabs>
          <w:tab w:leader="none" w:pos="8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88" w:lineRule="exact"/>
        <w:rPr>
          <w:sz w:val="20"/>
          <w:szCs w:val="20"/>
          <w:color w:val="auto"/>
        </w:rPr>
      </w:pPr>
    </w:p>
    <w:p>
      <w:pPr>
        <w:ind w:right="1679" w:firstLine="416"/>
        <w:spacing w:after="0" w:line="259"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each of the foregoing attorneys-in-fact, in serving in such capacity at the request of the undersigned, are not assuming, nor is the Company assuming any of the undersigned's responsibilities to comply with Sections 13 and 16 of the Securities Exchange Act of 1934.</w:t>
      </w:r>
    </w:p>
    <w:p>
      <w:pPr>
        <w:spacing w:after="0" w:line="304" w:lineRule="exact"/>
        <w:rPr>
          <w:sz w:val="20"/>
          <w:szCs w:val="20"/>
          <w:color w:val="auto"/>
        </w:rPr>
      </w:pPr>
    </w:p>
    <w:p>
      <w:pPr>
        <w:ind w:right="1779" w:firstLine="422"/>
        <w:spacing w:after="0" w:line="265"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earlier of (1) the undersigned is no longer required to file Forms 3, 4 and 5 with respect to the undersigned's holdings of and transactions in securities issued by the Company, unless earlier revoked by the undersigned in a signed writing delivered to the foregoing attorney-in-fact or (2) if any attorney-in-fact ceases to be an executive officer of, or legal counsel to the Company. This Power of Attorney supersedes any prior power of attorney in connection with the undersigned's capacity as an officer and/or director of the Company.</w:t>
      </w:r>
    </w:p>
    <w:p>
      <w:pPr>
        <w:spacing w:after="0" w:line="298" w:lineRule="exact"/>
        <w:rPr>
          <w:sz w:val="20"/>
          <w:szCs w:val="20"/>
          <w:color w:val="auto"/>
        </w:rPr>
      </w:pPr>
    </w:p>
    <w:p>
      <w:pPr>
        <w:ind w:right="2199"/>
        <w:spacing w:after="0" w:line="373"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13th day of August, 2024.</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/s/Michael Teaster</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 Michael Teaster</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48604" TargetMode="External"/><Relationship Id="rId14" Type="http://schemas.openxmlformats.org/officeDocument/2006/relationships/hyperlink" Target="http://www.sec.gov/cgi-bin/browse-edgar?action=getcompany&amp;CIK=000189849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2024-09-26T16:16:09Z</dcterms:created>
  <dcterms:modified xsi:type="dcterms:W3CDTF">2024-09-26T16:16:09Z</dcterms:modified>
</cp:coreProperties>
</file>