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591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591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Chu Chinh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04/26/2024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473"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2"/>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CC</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04/26/2024</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7"/>
                <w:szCs w:val="17"/>
                <w:color w:val="0000FF"/>
              </w:rPr>
              <w:t>5,201</w:t>
            </w:r>
          </w:p>
        </w:tc>
        <w:tc>
          <w:tcPr>
            <w:tcW w:w="52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4.0062</w:t>
            </w:r>
            <w:r>
              <w:rPr>
                <w:rFonts w:ascii="Times New Roman" w:cs="Times New Roman" w:eastAsia="Times New Roman" w:hAnsi="Times New Roman"/>
                <w:sz w:val="22"/>
                <w:szCs w:val="22"/>
                <w:color w:val="008000"/>
                <w:vertAlign w:val="superscript"/>
              </w:rPr>
              <w:t>(2)</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8,433,937</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SP,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CC</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04/29/2024</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7"/>
                <w:szCs w:val="17"/>
                <w:color w:val="0000FF"/>
              </w:rPr>
              <w:t>3,937</w:t>
            </w:r>
          </w:p>
        </w:tc>
        <w:tc>
          <w:tcPr>
            <w:tcW w:w="52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4.0039</w:t>
            </w:r>
            <w:r>
              <w:rPr>
                <w:rFonts w:ascii="Times New Roman" w:cs="Times New Roman" w:eastAsia="Times New Roman" w:hAnsi="Times New Roman"/>
                <w:sz w:val="22"/>
                <w:szCs w:val="22"/>
                <w:color w:val="008000"/>
                <w:vertAlign w:val="superscript"/>
              </w:rPr>
              <w:t>(4)</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8,430,000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SP,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CC</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NB</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7,196,496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Sponsor</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Holdings</w:t>
      </w:r>
    </w:p>
    <w:p>
      <w:pPr>
        <w:ind w:left="10260"/>
        <w:spacing w:after="0" w:line="185" w:lineRule="auto"/>
        <w:rPr>
          <w:sz w:val="20"/>
          <w:szCs w:val="20"/>
          <w:color w:val="auto"/>
        </w:rPr>
      </w:pPr>
      <w:r>
        <w:rPr>
          <w:rFonts w:ascii="Times New Roman" w:cs="Times New Roman" w:eastAsia="Times New Roman" w:hAnsi="Times New Roman"/>
          <w:sz w:val="26"/>
          <w:szCs w:val="26"/>
          <w:color w:val="0000FF"/>
          <w:vertAlign w:val="subscript"/>
        </w:rPr>
        <w:t>LLC</w:t>
      </w:r>
      <w:r>
        <w:rPr>
          <w:rFonts w:ascii="Times New Roman" w:cs="Times New Roman" w:eastAsia="Times New Roman" w:hAnsi="Times New Roman"/>
          <w:sz w:val="10"/>
          <w:szCs w:val="10"/>
          <w:color w:val="008000"/>
        </w:rPr>
        <w:t>(5)</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a Rule 10b5-1 trading plan adopted by CC Capital SP, LP on November 28, 2023.</w:t>
      </w:r>
    </w:p>
    <w:p>
      <w:pPr>
        <w:spacing w:after="0" w:line="50"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$4.0000 to $4.0150. The Reporting Person undertakes to provide to the Issuer, any security holders of the Issuer, or the staff of the Securities and Exchange Commission, upon request, full information regarding the number of shares sold at each price within this range.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CC Capital SP, LP, which is controlled by the Reporting Person. The Reporting Person disclaims beneficial ownership of the reported securities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$4.0000 to $4.0200. The Reporting Person undertakes to provide to the Issuer, any security holders of the Issuer, or the staff of the Securities and Exchange Commission, upon request, full information regarding the number of shares sold at each price within this range.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CC NB Sponsor 2 Holdings LLC, a wholly owned subsidiary of CC Capital SP, LP. CC Capital SP, LP is controlled by the Reporting Person. The Reporting Person disclaims beneficial ownership of the reported securities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Matthew B. Skurbe, as</w:t>
            </w:r>
          </w:p>
        </w:tc>
        <w:tc>
          <w:tcPr>
            <w:tcW w:w="3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04/30/2024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Chinh Chu</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6507" TargetMode="External"/><Relationship Id="rId13"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2024-04-30T15:42:12Z</dcterms:created>
  <dcterms:modified xsi:type="dcterms:W3CDTF">2024-04-30T15:42:12Z</dcterms:modified>
</cp:coreProperties>
</file>