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885190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910590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No.1)</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(Mark One)</w:t>
      </w:r>
    </w:p>
    <w:p>
      <w:pPr>
        <w:spacing w:after="0" w:line="215" w:lineRule="exact"/>
        <w:rPr>
          <w:sz w:val="24"/>
          <w:szCs w:val="24"/>
          <w:color w:val="auto"/>
        </w:rPr>
      </w:pPr>
    </w:p>
    <w:p>
      <w:pPr>
        <w:jc w:val="center"/>
        <w:spacing w:after="0"/>
        <w:rPr>
          <w:sz w:val="20"/>
          <w:szCs w:val="20"/>
          <w:color w:val="auto"/>
        </w:rPr>
      </w:pPr>
      <w:r>
        <w:rPr>
          <w:rFonts w:ascii="Wingdings" w:cs="Wingdings" w:eastAsia="Wingdings" w:hAnsi="Wingdings"/>
          <w:sz w:val="13"/>
          <w:szCs w:val="13"/>
          <w:b w:val="1"/>
          <w:bCs w:val="1"/>
          <w:color w:val="auto"/>
        </w:rPr>
        <w:t xml:space="preserve">x </w:t>
      </w:r>
      <w:r>
        <w:rPr>
          <w:rFonts w:ascii="Times New Roman" w:cs="Times New Roman" w:eastAsia="Times New Roman" w:hAnsi="Times New Roman"/>
          <w:sz w:val="13"/>
          <w:szCs w:val="13"/>
          <w:color w:val="auto"/>
        </w:rPr>
        <w:t>ANNUAL REPORT 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For the fiscal year ended December 31, 2025</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Or</w:t>
      </w:r>
    </w:p>
    <w:p>
      <w:pPr>
        <w:spacing w:after="0" w:line="241" w:lineRule="exact"/>
        <w:rPr>
          <w:sz w:val="24"/>
          <w:szCs w:val="24"/>
          <w:color w:val="auto"/>
        </w:rPr>
      </w:pPr>
    </w:p>
    <w:p>
      <w:pPr>
        <w:ind w:left="2660" w:hanging="150"/>
        <w:spacing w:after="0"/>
        <w:tabs>
          <w:tab w:leader="none" w:pos="2660" w:val="left"/>
        </w:tabs>
        <w:numPr>
          <w:ilvl w:val="0"/>
          <w:numId w:val="1"/>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color w:val="auto"/>
        </w:rPr>
        <w:t>TRANSITION REPORT PURSUANT TO SECTION 13 OR 15(d) OF THE SECURITIES EXCHANGE ACT OF 1934</w:t>
      </w:r>
    </w:p>
    <w:p>
      <w:pPr>
        <w:spacing w:after="0" w:line="228" w:lineRule="exact"/>
        <w:rPr>
          <w:sz w:val="24"/>
          <w:szCs w:val="24"/>
          <w:color w:val="auto"/>
        </w:rPr>
      </w:pPr>
    </w:p>
    <w:p>
      <w:pPr>
        <w:ind w:left="4480"/>
        <w:spacing w:after="0"/>
        <w:tabs>
          <w:tab w:leader="none" w:pos="6300" w:val="left"/>
          <w:tab w:leader="none" w:pos="6720" w:val="left"/>
        </w:tabs>
        <w:rPr>
          <w:sz w:val="20"/>
          <w:szCs w:val="20"/>
          <w:color w:val="auto"/>
        </w:rPr>
      </w:pPr>
      <w:r>
        <w:rPr>
          <w:rFonts w:ascii="Times New Roman" w:cs="Times New Roman" w:eastAsia="Times New Roman" w:hAnsi="Times New Roman"/>
          <w:sz w:val="13"/>
          <w:szCs w:val="13"/>
          <w:color w:val="auto"/>
        </w:rPr>
        <w:t>For the transition period from</w:t>
      </w:r>
      <w:r>
        <w:rPr>
          <w:sz w:val="20"/>
          <w:szCs w:val="20"/>
          <w:color w:val="auto"/>
        </w:rPr>
        <w:tab/>
      </w:r>
      <w:r>
        <w:rPr>
          <w:rFonts w:ascii="Times New Roman" w:cs="Times New Roman" w:eastAsia="Times New Roman" w:hAnsi="Times New Roman"/>
          <w:sz w:val="11"/>
          <w:szCs w:val="11"/>
          <w:color w:val="auto"/>
        </w:rPr>
        <w:t>to</w:t>
      </w:r>
      <w:r>
        <w:rPr>
          <w:sz w:val="20"/>
          <w:szCs w:val="20"/>
          <w:color w:val="auto"/>
        </w:rPr>
        <w:tab/>
      </w:r>
      <w:r>
        <w:rPr>
          <w:rFonts w:ascii="Times New Roman" w:cs="Times New Roman" w:eastAsia="Times New Roman" w:hAnsi="Times New Roman"/>
          <w:sz w:val="11"/>
          <w:szCs w:val="11"/>
          <w:color w:val="auto"/>
        </w:rPr>
        <w:t>.</w:t>
      </w:r>
    </w:p>
    <w:p>
      <w:pPr>
        <w:spacing w:after="0" w:line="215"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3"/>
          <w:szCs w:val="13"/>
          <w:color w:val="auto"/>
        </w:rPr>
        <w:t>Commission file number: 001-41453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2291080</wp:posOffset>
            </wp:positionH>
            <wp:positionV relativeFrom="paragraph">
              <wp:posOffset>147955</wp:posOffset>
            </wp:positionV>
            <wp:extent cx="2568575" cy="6851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68575" cy="6851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GETTY IMAGES HOLDINGS,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42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20" w:type="dxa"/>
            <w:vAlign w:val="bottom"/>
          </w:tcPr>
          <w:p>
            <w:pPr>
              <w:jc w:val="right"/>
              <w:ind w:right="2279"/>
              <w:spacing w:after="0"/>
              <w:rPr>
                <w:sz w:val="20"/>
                <w:szCs w:val="20"/>
                <w:color w:val="auto"/>
              </w:rPr>
            </w:pPr>
            <w:r>
              <w:rPr>
                <w:rFonts w:ascii="Times New Roman" w:cs="Times New Roman" w:eastAsia="Times New Roman" w:hAnsi="Times New Roman"/>
                <w:sz w:val="18"/>
                <w:szCs w:val="18"/>
                <w:b w:val="1"/>
                <w:bCs w:val="1"/>
                <w:color w:val="auto"/>
              </w:rPr>
              <w:t>87-3764229</w:t>
            </w:r>
          </w:p>
        </w:tc>
      </w:tr>
      <w:tr>
        <w:trPr>
          <w:trHeight w:val="27"/>
        </w:trPr>
        <w:tc>
          <w:tcPr>
            <w:tcW w:w="5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6"/>
        </w:trPr>
        <w:tc>
          <w:tcPr>
            <w:tcW w:w="642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4820" w:type="dxa"/>
            <w:vAlign w:val="bottom"/>
          </w:tcPr>
          <w:p>
            <w:pPr>
              <w:jc w:val="center"/>
              <w:ind w:right="679"/>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519"/>
        </w:trPr>
        <w:tc>
          <w:tcPr>
            <w:tcW w:w="6420" w:type="dxa"/>
            <w:vAlign w:val="bottom"/>
            <w:gridSpan w:val="3"/>
          </w:tcPr>
          <w:p>
            <w:pPr>
              <w:jc w:val="center"/>
              <w:ind w:left="4748"/>
              <w:spacing w:after="0"/>
              <w:rPr>
                <w:sz w:val="20"/>
                <w:szCs w:val="20"/>
                <w:color w:val="auto"/>
              </w:rPr>
            </w:pPr>
            <w:r>
              <w:rPr>
                <w:rFonts w:ascii="Times New Roman" w:cs="Times New Roman" w:eastAsia="Times New Roman" w:hAnsi="Times New Roman"/>
                <w:sz w:val="13"/>
                <w:szCs w:val="13"/>
                <w:b w:val="1"/>
                <w:bCs w:val="1"/>
                <w:color w:val="auto"/>
                <w:w w:val="96"/>
              </w:rPr>
              <w:t>605 5th Ave. S. Suite 400</w:t>
            </w:r>
          </w:p>
        </w:tc>
        <w:tc>
          <w:tcPr>
            <w:tcW w:w="4820" w:type="dxa"/>
            <w:vAlign w:val="bottom"/>
          </w:tcPr>
          <w:p>
            <w:pPr>
              <w:spacing w:after="0"/>
              <w:rPr>
                <w:sz w:val="24"/>
                <w:szCs w:val="24"/>
                <w:color w:val="auto"/>
              </w:rPr>
            </w:pPr>
          </w:p>
        </w:tc>
      </w:tr>
      <w:tr>
        <w:trPr>
          <w:trHeight w:val="148"/>
        </w:trPr>
        <w:tc>
          <w:tcPr>
            <w:tcW w:w="6420" w:type="dxa"/>
            <w:vAlign w:val="bottom"/>
            <w:gridSpan w:val="3"/>
          </w:tcPr>
          <w:p>
            <w:pPr>
              <w:jc w:val="center"/>
              <w:ind w:left="4768"/>
              <w:spacing w:after="0" w:line="149" w:lineRule="exact"/>
              <w:rPr>
                <w:sz w:val="20"/>
                <w:szCs w:val="20"/>
                <w:color w:val="auto"/>
              </w:rPr>
            </w:pPr>
            <w:r>
              <w:rPr>
                <w:rFonts w:ascii="Times New Roman" w:cs="Times New Roman" w:eastAsia="Times New Roman" w:hAnsi="Times New Roman"/>
                <w:sz w:val="13"/>
                <w:szCs w:val="13"/>
                <w:b w:val="1"/>
                <w:bCs w:val="1"/>
                <w:color w:val="auto"/>
                <w:w w:val="95"/>
              </w:rPr>
              <w:t>Seattle, WA 98104</w:t>
            </w:r>
          </w:p>
        </w:tc>
        <w:tc>
          <w:tcPr>
            <w:tcW w:w="4820" w:type="dxa"/>
            <w:vAlign w:val="bottom"/>
          </w:tcPr>
          <w:p>
            <w:pPr>
              <w:spacing w:after="0"/>
              <w:rPr>
                <w:sz w:val="12"/>
                <w:szCs w:val="12"/>
                <w:color w:val="auto"/>
              </w:rPr>
            </w:pPr>
          </w:p>
        </w:tc>
      </w:tr>
      <w:tr>
        <w:trPr>
          <w:trHeight w:val="148"/>
        </w:trPr>
        <w:tc>
          <w:tcPr>
            <w:tcW w:w="112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w w:val="96"/>
              </w:rPr>
              <w:t>_________________________________________________</w:t>
            </w:r>
          </w:p>
        </w:tc>
      </w:tr>
      <w:tr>
        <w:trPr>
          <w:trHeight w:val="166"/>
        </w:trPr>
        <w:tc>
          <w:tcPr>
            <w:tcW w:w="6420" w:type="dxa"/>
            <w:vAlign w:val="bottom"/>
            <w:gridSpan w:val="3"/>
          </w:tcPr>
          <w:p>
            <w:pPr>
              <w:ind w:left="41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48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71" w:lineRule="exact"/>
        <w:rPr>
          <w:sz w:val="24"/>
          <w:szCs w:val="24"/>
          <w:color w:val="auto"/>
        </w:rPr>
      </w:pPr>
    </w:p>
    <w:p>
      <w:pPr>
        <w:ind w:left="5540" w:hanging="309"/>
        <w:spacing w:after="0"/>
        <w:tabs>
          <w:tab w:leader="none" w:pos="5540" w:val="left"/>
        </w:tabs>
        <w:numPr>
          <w:ilvl w:val="0"/>
          <w:numId w:val="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925-5000</w:t>
      </w:r>
    </w:p>
    <w:p>
      <w:pPr>
        <w:spacing w:after="0" w:line="14" w:lineRule="exact"/>
        <w:rPr>
          <w:rFonts w:ascii="Times New Roman" w:cs="Times New Roman" w:eastAsia="Times New Roman" w:hAnsi="Times New Roman"/>
          <w:sz w:val="13"/>
          <w:szCs w:val="13"/>
          <w:b w:val="1"/>
          <w:bCs w:val="1"/>
          <w:color w:val="auto"/>
        </w:rPr>
      </w:pPr>
    </w:p>
    <w:p>
      <w:pPr>
        <w:ind w:left="4080"/>
        <w:spacing w:after="0" w:line="238"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_________________________________________________</w:t>
      </w:r>
    </w:p>
    <w:p>
      <w:pPr>
        <w:ind w:left="42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335"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6"/>
              </w:rPr>
              <w:t>Securities registered pursuant to Section 12(b) of the Act:</w:t>
            </w:r>
          </w:p>
        </w:tc>
        <w:tc>
          <w:tcPr>
            <w:tcW w:w="3700" w:type="dxa"/>
            <w:vAlign w:val="bottom"/>
          </w:tcPr>
          <w:p>
            <w:pPr>
              <w:spacing w:after="0"/>
              <w:rPr>
                <w:sz w:val="14"/>
                <w:szCs w:val="14"/>
                <w:color w:val="auto"/>
              </w:rPr>
            </w:pPr>
          </w:p>
        </w:tc>
      </w:tr>
      <w:tr>
        <w:trPr>
          <w:trHeight w:val="418"/>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29"/>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66"/>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Class A Common Stock</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GETY</w:t>
            </w:r>
          </w:p>
        </w:tc>
        <w:tc>
          <w:tcPr>
            <w:tcW w:w="3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New York Stock Exchange</w:t>
            </w:r>
          </w:p>
        </w:tc>
      </w:tr>
    </w:tbl>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p>
      <w:pPr>
        <w:spacing w:after="0" w:line="199"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15"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43" w:lineRule="exact"/>
        <w:rPr>
          <w:sz w:val="24"/>
          <w:szCs w:val="24"/>
          <w:color w:val="auto"/>
        </w:rPr>
      </w:pPr>
    </w:p>
    <w:p>
      <w:pPr>
        <w:jc w:val="both"/>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181" w:lineRule="exact"/>
        <w:rPr>
          <w:sz w:val="24"/>
          <w:szCs w:val="24"/>
          <w:color w:val="auto"/>
        </w:rPr>
      </w:pPr>
    </w:p>
    <w:p>
      <w:pPr>
        <w:jc w:val="both"/>
        <w:spacing w:after="0" w:line="17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181"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3"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460" w:type="dxa"/>
            <w:vAlign w:val="bottom"/>
          </w:tcPr>
          <w:p>
            <w:pPr>
              <w:ind w:left="840"/>
              <w:spacing w:after="0"/>
              <w:rPr>
                <w:sz w:val="20"/>
                <w:szCs w:val="20"/>
                <w:color w:val="auto"/>
              </w:rPr>
            </w:pPr>
            <w:r>
              <w:rPr>
                <w:rFonts w:ascii="Wingdings" w:cs="Wingdings" w:eastAsia="Wingdings" w:hAnsi="Wingdings"/>
                <w:sz w:val="13"/>
                <w:szCs w:val="13"/>
                <w:b w:val="1"/>
                <w:bCs w:val="1"/>
                <w:color w:val="auto"/>
              </w:rPr>
              <w:t>o</w:t>
            </w:r>
          </w:p>
        </w:tc>
        <w:tc>
          <w:tcPr>
            <w:tcW w:w="3940" w:type="dxa"/>
            <w:vAlign w:val="bottom"/>
          </w:tcPr>
          <w:p>
            <w:pPr>
              <w:ind w:left="1520"/>
              <w:spacing w:after="0"/>
              <w:rPr>
                <w:sz w:val="20"/>
                <w:szCs w:val="20"/>
                <w:color w:val="auto"/>
              </w:rPr>
            </w:pPr>
            <w:r>
              <w:rPr>
                <w:rFonts w:ascii="Times New Roman" w:cs="Times New Roman" w:eastAsia="Times New Roman" w:hAnsi="Times New Roman"/>
                <w:sz w:val="13"/>
                <w:szCs w:val="13"/>
                <w:color w:val="auto"/>
              </w:rPr>
              <w:t>Accelerated filer</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2"/>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460" w:type="dxa"/>
            <w:vAlign w:val="bottom"/>
          </w:tcPr>
          <w:p>
            <w:pPr>
              <w:ind w:left="840"/>
              <w:spacing w:after="0"/>
              <w:rPr>
                <w:sz w:val="20"/>
                <w:szCs w:val="20"/>
                <w:color w:val="auto"/>
              </w:rPr>
            </w:pPr>
            <w:r>
              <w:rPr>
                <w:rFonts w:ascii="Wingdings" w:cs="Wingdings" w:eastAsia="Wingdings" w:hAnsi="Wingdings"/>
                <w:sz w:val="13"/>
                <w:szCs w:val="13"/>
                <w:b w:val="1"/>
                <w:bCs w:val="1"/>
                <w:color w:val="auto"/>
              </w:rPr>
              <w:t>o</w:t>
            </w:r>
          </w:p>
        </w:tc>
        <w:tc>
          <w:tcPr>
            <w:tcW w:w="3940" w:type="dxa"/>
            <w:vAlign w:val="bottom"/>
          </w:tcPr>
          <w:p>
            <w:pPr>
              <w:ind w:left="15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3"/>
        </w:trPr>
        <w:tc>
          <w:tcPr>
            <w:tcW w:w="19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940" w:type="dxa"/>
            <w:vAlign w:val="bottom"/>
          </w:tcPr>
          <w:p>
            <w:pPr>
              <w:ind w:left="1520"/>
              <w:spacing w:after="0"/>
              <w:rPr>
                <w:sz w:val="20"/>
                <w:szCs w:val="20"/>
                <w:color w:val="auto"/>
              </w:rPr>
            </w:pPr>
            <w:r>
              <w:rPr>
                <w:rFonts w:ascii="Times New Roman" w:cs="Times New Roman" w:eastAsia="Times New Roman" w:hAnsi="Times New Roman"/>
                <w:sz w:val="13"/>
                <w:szCs w:val="13"/>
                <w:color w:val="auto"/>
              </w:rPr>
              <w:t>Emerging growth company</w:t>
            </w:r>
          </w:p>
        </w:tc>
        <w:tc>
          <w:tcPr>
            <w:tcW w:w="116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301"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18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3"/>
          <w:szCs w:val="13"/>
          <w:b w:val="1"/>
          <w:bCs w:val="1"/>
          <w:color w:val="auto"/>
        </w:rPr>
        <w:t>o</w:t>
      </w:r>
    </w:p>
    <w:p>
      <w:pPr>
        <w:spacing w:after="0" w:line="201"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spacing w:after="0" w:line="18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3"/>
          <w:szCs w:val="13"/>
          <w:b w:val="1"/>
          <w:bCs w:val="1"/>
          <w:color w:val="auto"/>
        </w:rPr>
        <w:t>o</w:t>
      </w:r>
    </w:p>
    <w:p>
      <w:pPr>
        <w:sectPr>
          <w:pgSz w:w="11900" w:h="16841" w:orient="portrait"/>
          <w:cols w:equalWidth="0" w:num="1">
            <w:col w:w="11240"/>
          </w:cols>
          <w:pgMar w:left="320" w:top="1440" w:right="339" w:bottom="0" w:gutter="0" w:footer="0" w:header="0"/>
        </w:sectPr>
      </w:pPr>
    </w:p>
    <w:bookmarkStart w:id="1" w:name="page2"/>
    <w:bookmarkEnd w:id="1"/>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The aggregate market value of voting stock held by non-affiliates of Getty Images Holdings, Inc. on June 30, 2025, based on the closing price of $1.66 for shares of Class A common stock of Getty Images Holdings, Inc. as reported by the New York Stock Exchange on June 30, 2025, was approximately $82,569,950. For purposes of this calculation, shares of Class A common stock beneficially owned by each executive officer, director, and holders of 5% or more of our Class A common stock have been excluded since those persons may under certain circumstances be deemed to be affiliates. This determination of affiliate status is not necessarily a conclusive determination for other purposes.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March 11, 2026, 417,765,616 shares of Class A common stock, par value $0.0001 per share of Getty Images Holdings, Inc. were issued and outstanding.</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EXPLANATORY NOTE</w:t>
      </w:r>
    </w:p>
    <w:p>
      <w:pPr>
        <w:spacing w:after="0" w:line="2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3"/>
          <w:szCs w:val="13"/>
          <w:color w:val="auto"/>
        </w:rPr>
        <w:t>Getty Images Holdings Inc. (“Getty”, “Getty Images”, the “Registrant”, “we”, “us”, or “our”) is filing this Amendment No. 1 on Form 10-K/A (“Amendment No. 1”) to its Annual Report on Form 10-K for the fiscal year ended December 31, 2025, which was filed with the U.S. Securities and Exchange Commission (the “SEC”) on March 16, 2026 (the “Original Form 10-K” and as amended by Amendment No. 1, the “Annual Report”). This Amendment No. 1 on Form 10-K/A is being filed for the sole purpose of amending Part III of the Original Form 10-K to include the information required by Part III (Items 10, 11, 12, 13 and 14) of Form 10-K. This information was previously omitted from the Original Form 10-K in reliance on General Instruction G(3) to Form 10-K, which permits the information required by Part III to be incorporated by reference from the Registrant’s definitive proxy statement if such statement is filed no later than 120 days after the end of its fiscal year.</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3"/>
          <w:szCs w:val="13"/>
          <w:color w:val="auto"/>
        </w:rPr>
        <w:t>In addition, pursuant to applicable SEC rules, Item 15 of Part IV has been amended to include contemporaneously dated certifications of the Registrant’s principal executive officer and principal financial officer pursuant to Section 302 of the Sarbanes-Oxley Act of 2002 (the “302 Certifications”), which are filed as Exhibits 31.3 and 31.4 hereto. Because this Amendment No. 1 on Form 10-K/A does not contain any financial statements or other financial information, nor does it contain or amend any disclosure with respect to Items 307 and 308 of Regulation S-K of the Securities Act of 1933, as amended: (i) paragraphs 3, 4 and 5 of the 302 Certifications have been omitted and (ii) no certifications pursuant to Section 906 of the Sarbanes-Oxley Act of 2002 are being filed as exhibits to this Amendment No. 1.</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Except as described above, no other changes have been made to the Original Form 10-K. The Original Form 10-K continues to speak as of the date on which it was filed, and the Registrant has not updated the disclosures contained therein to reflect any events that have occurred at a date subsequent to the date on which it was filed. Accordingly, this Amendment No. 1 on Form 10-K/A should be read in conjunction with the Original Form 10-K and with the Registrant’s other filings made with the SEC subsequent to the filing of the Original Form 10-K. Additionally, defined terms used but not defined in this Amendment No. 1 shall have the meaning specified for such terms in the Original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Page No.</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500" w:type="dxa"/>
            <w:vAlign w:val="bottom"/>
            <w:gridSpan w:val="4"/>
            <w:vMerge w:val="restart"/>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0000FF"/>
            </w:tcBorders>
            <w:gridSpan w:val="3"/>
            <w:vMerge w:val="continue"/>
          </w:tcPr>
          <w:p>
            <w:pPr>
              <w:spacing w:after="0"/>
              <w:rPr>
                <w:sz w:val="15"/>
                <w:szCs w:val="15"/>
                <w:color w:val="auto"/>
              </w:rPr>
            </w:pPr>
          </w:p>
        </w:tc>
        <w:tc>
          <w:tcPr>
            <w:tcW w:w="4500" w:type="dxa"/>
            <w:vAlign w:val="bottom"/>
            <w:gridSpan w:val="4"/>
            <w:vMerge w:val="continue"/>
          </w:tcPr>
          <w:p>
            <w:pPr>
              <w:spacing w:after="0"/>
              <w:rPr>
                <w:sz w:val="15"/>
                <w:szCs w:val="15"/>
                <w:color w:val="auto"/>
              </w:rPr>
            </w:pPr>
          </w:p>
        </w:tc>
        <w:tc>
          <w:tcPr>
            <w:tcW w:w="14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10.</w:t>
            </w:r>
          </w:p>
        </w:tc>
        <w:tc>
          <w:tcPr>
            <w:tcW w:w="82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880" w:type="dxa"/>
            <w:vAlign w:val="bottom"/>
          </w:tcPr>
          <w:p>
            <w:pPr>
              <w:spacing w:after="0"/>
              <w:rPr>
                <w:sz w:val="21"/>
                <w:szCs w:val="21"/>
                <w:color w:val="auto"/>
              </w:rPr>
            </w:pPr>
          </w:p>
        </w:tc>
        <w:tc>
          <w:tcPr>
            <w:tcW w:w="18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7"/>
          </w:tcPr>
          <w:p>
            <w:pPr>
              <w:spacing w:after="0"/>
              <w:rPr>
                <w:sz w:val="21"/>
                <w:szCs w:val="21"/>
                <w:color w:val="auto"/>
              </w:rPr>
            </w:pPr>
          </w:p>
        </w:tc>
        <w:tc>
          <w:tcPr>
            <w:tcW w:w="4180" w:type="dxa"/>
            <w:vAlign w:val="bottom"/>
            <w:gridSpan w:val="3"/>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12.</w:t>
            </w:r>
          </w:p>
        </w:tc>
        <w:tc>
          <w:tcPr>
            <w:tcW w:w="82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 and Management and Related Stockholder Matters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13.</w:t>
            </w:r>
          </w:p>
        </w:tc>
        <w:tc>
          <w:tcPr>
            <w:tcW w:w="82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14.</w:t>
            </w:r>
          </w:p>
        </w:tc>
        <w:tc>
          <w:tcPr>
            <w:tcW w:w="82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880" w:type="dxa"/>
            <w:vAlign w:val="bottom"/>
          </w:tcPr>
          <w:p>
            <w:pPr>
              <w:spacing w:after="0"/>
              <w:rPr>
                <w:sz w:val="21"/>
                <w:szCs w:val="21"/>
                <w:color w:val="auto"/>
              </w:rPr>
            </w:pPr>
          </w:p>
        </w:tc>
        <w:tc>
          <w:tcPr>
            <w:tcW w:w="1800" w:type="dxa"/>
            <w:vAlign w:val="bottom"/>
            <w:tcBorders>
              <w:top w:val="single" w:sz="8" w:color="0000FF"/>
            </w:tcBorders>
          </w:tcPr>
          <w:p>
            <w:pPr>
              <w:spacing w:after="0"/>
              <w:rPr>
                <w:sz w:val="21"/>
                <w:szCs w:val="21"/>
                <w:color w:val="auto"/>
              </w:rPr>
            </w:pPr>
          </w:p>
        </w:tc>
        <w:tc>
          <w:tcPr>
            <w:tcW w:w="106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15.</w:t>
            </w:r>
          </w:p>
        </w:tc>
        <w:tc>
          <w:tcPr>
            <w:tcW w:w="30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700" w:type="dxa"/>
            <w:vAlign w:val="bottom"/>
            <w:tcBorders>
              <w:top w:val="single" w:sz="8" w:color="0000FF"/>
            </w:tcBorders>
          </w:tcPr>
          <w:p>
            <w:pPr>
              <w:spacing w:after="0"/>
              <w:rPr>
                <w:sz w:val="21"/>
                <w:szCs w:val="21"/>
                <w:color w:val="auto"/>
              </w:rPr>
            </w:pPr>
          </w:p>
        </w:tc>
        <w:tc>
          <w:tcPr>
            <w:tcW w:w="4520" w:type="dxa"/>
            <w:vAlign w:val="bottom"/>
            <w:gridSpan w:val="5"/>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1066"/>
        </w:trPr>
        <w:tc>
          <w:tcPr>
            <w:tcW w:w="2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0" w:type="dxa"/>
            <w:vAlign w:val="bottom"/>
            <w:tcBorders>
              <w:top w:val="single" w:sz="8" w:color="0000FF"/>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of Conduct and Business Ethics for Employees, Executive Officers, and Directors</w:t>
      </w:r>
    </w:p>
    <w:p>
      <w:pPr>
        <w:spacing w:after="0" w:line="240" w:lineRule="exact"/>
        <w:rPr>
          <w:sz w:val="20"/>
          <w:szCs w:val="20"/>
          <w:color w:val="auto"/>
        </w:rPr>
      </w:pPr>
    </w:p>
    <w:p>
      <w:pPr>
        <w:jc w:val="both"/>
        <w:ind w:firstLine="647"/>
        <w:spacing w:after="0" w:line="237" w:lineRule="auto"/>
        <w:rPr>
          <w:sz w:val="20"/>
          <w:szCs w:val="20"/>
          <w:color w:val="auto"/>
        </w:rPr>
      </w:pPr>
      <w:r>
        <w:rPr>
          <w:rFonts w:ascii="Times New Roman" w:cs="Times New Roman" w:eastAsia="Times New Roman" w:hAnsi="Times New Roman"/>
          <w:sz w:val="18"/>
          <w:szCs w:val="18"/>
          <w:color w:val="auto"/>
        </w:rPr>
        <w:t xml:space="preserve">The Company has adopted a Code of Conduct and Business Ethics applicable to its directors, executive officers and employees, including its principal executive officer, principal financial officer, principal accounting officer or controller, or persons performing similar functions that complies with the rules and regulations of the New York Stock Exchange (the "NYSE"). The Code of Conduct and Business Ethics codifies the business and ethical principles that govern all aspects of the Company’s business. A copy of the Code of Conduct and Business Ethics has been filed with the SEC and is provided in the "Governance" section of our investor relations page of our website, </w:t>
      </w:r>
      <w:r>
        <w:rPr>
          <w:rFonts w:ascii="Times New Roman" w:cs="Times New Roman" w:eastAsia="Times New Roman" w:hAnsi="Times New Roman"/>
          <w:sz w:val="18"/>
          <w:szCs w:val="18"/>
          <w:i w:val="1"/>
          <w:iCs w:val="1"/>
          <w:color w:val="auto"/>
        </w:rPr>
        <w:t>https://investors.gettyimages.com/corporate-governance/governance-documents</w:t>
      </w:r>
      <w:r>
        <w:rPr>
          <w:rFonts w:ascii="Times New Roman" w:cs="Times New Roman" w:eastAsia="Times New Roman" w:hAnsi="Times New Roman"/>
          <w:sz w:val="18"/>
          <w:szCs w:val="18"/>
          <w:color w:val="auto"/>
        </w:rPr>
        <w:t>. The Company will disclose on its website all disclosures that are required by law or the NYSE listing standards concerning any amendments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waivers of certain provisions of its Code of Conduct and Business Ethics. The information on any of our websites is deemed not to be incorporated in the Annual Report.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Officers and Board of Directors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persons are the members of our Board of Directors and our executive officers as of the date of the Annual Report: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Age</w:t>
            </w:r>
          </w:p>
        </w:tc>
        <w:tc>
          <w:tcPr>
            <w:tcW w:w="4500" w:type="dxa"/>
            <w:vAlign w:val="bottom"/>
          </w:tcPr>
          <w:p>
            <w:pPr>
              <w:ind w:left="20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39"/>
        </w:trPr>
        <w:tc>
          <w:tcPr>
            <w:tcW w:w="6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500" w:type="dxa"/>
            <w:vAlign w:val="bottom"/>
            <w:tcBorders>
              <w:bottom w:val="single" w:sz="8" w:color="auto"/>
            </w:tcBorders>
          </w:tcPr>
          <w:p>
            <w:pPr>
              <w:spacing w:after="0"/>
              <w:rPr>
                <w:sz w:val="3"/>
                <w:szCs w:val="3"/>
                <w:color w:val="auto"/>
              </w:rPr>
            </w:pPr>
          </w:p>
        </w:tc>
      </w:tr>
      <w:tr>
        <w:trPr>
          <w:trHeight w:val="243"/>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Craig Peters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Director (Class III)</w:t>
            </w:r>
          </w:p>
        </w:tc>
      </w:tr>
      <w:tr>
        <w:trPr>
          <w:trHeight w:val="27"/>
        </w:trPr>
        <w:tc>
          <w:tcPr>
            <w:tcW w:w="6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Mikael Cho</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CEO, Unsplash</w:t>
            </w:r>
          </w:p>
        </w:tc>
      </w:tr>
      <w:tr>
        <w:trPr>
          <w:trHeight w:val="24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 Farhall</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Product Officer</w:t>
            </w:r>
          </w:p>
        </w:tc>
      </w:tr>
      <w:tr>
        <w:trPr>
          <w:trHeight w:val="27"/>
        </w:trPr>
        <w:tc>
          <w:tcPr>
            <w:tcW w:w="6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 Foca</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Chief Marketing Officer</w:t>
            </w:r>
          </w:p>
        </w:tc>
      </w:tr>
      <w:tr>
        <w:trPr>
          <w:trHeight w:val="24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Nate Gandert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Technology Officer</w:t>
            </w:r>
          </w:p>
        </w:tc>
      </w:tr>
      <w:tr>
        <w:trPr>
          <w:trHeight w:val="27"/>
        </w:trPr>
        <w:tc>
          <w:tcPr>
            <w:tcW w:w="6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 Hoel</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Chief Accounting Officer</w:t>
            </w:r>
          </w:p>
        </w:tc>
      </w:tr>
      <w:tr>
        <w:trPr>
          <w:trHeight w:val="24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Jerry Jenkins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Human Resources Officer</w:t>
            </w:r>
          </w:p>
        </w:tc>
      </w:tr>
      <w:tr>
        <w:trPr>
          <w:trHeight w:val="27"/>
        </w:trPr>
        <w:tc>
          <w:tcPr>
            <w:tcW w:w="6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Kjelti Kellough</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w:t>
            </w:r>
          </w:p>
        </w:tc>
      </w:tr>
      <w:tr>
        <w:trPr>
          <w:trHeight w:val="24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Jennifer Leyden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7"/>
        </w:trPr>
        <w:tc>
          <w:tcPr>
            <w:tcW w:w="6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 Mainardis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Global Content</w:t>
            </w:r>
          </w:p>
        </w:tc>
      </w:tr>
      <w:tr>
        <w:trPr>
          <w:trHeight w:val="24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Orlowsky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Strategic Development</w:t>
            </w:r>
          </w:p>
        </w:tc>
      </w:tr>
      <w:tr>
        <w:trPr>
          <w:trHeight w:val="27"/>
        </w:trPr>
        <w:tc>
          <w:tcPr>
            <w:tcW w:w="6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Teaster</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Chief of Staff</w:t>
            </w:r>
          </w:p>
        </w:tc>
      </w:tr>
      <w:tr>
        <w:trPr>
          <w:trHeight w:val="24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Daine Weston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Ecommerce</w:t>
            </w:r>
          </w:p>
        </w:tc>
      </w:tr>
      <w:tr>
        <w:trPr>
          <w:trHeight w:val="27"/>
        </w:trPr>
        <w:tc>
          <w:tcPr>
            <w:tcW w:w="6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shd w:val="clear" w:color="auto" w:fill="CCEEFF"/>
          </w:tcPr>
          <w:p>
            <w:pPr>
              <w:spacing w:after="0"/>
              <w:rPr>
                <w:sz w:val="21"/>
                <w:szCs w:val="21"/>
                <w:color w:val="auto"/>
              </w:rPr>
            </w:pPr>
          </w:p>
        </w:tc>
      </w:tr>
      <w:tr>
        <w:trPr>
          <w:trHeight w:val="224"/>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Getty, self-employed, serving in various capacities including Trustee and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234"/>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of various Getty family entities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(Class II)</w:t>
            </w:r>
          </w:p>
        </w:tc>
      </w:tr>
      <w:tr>
        <w:trPr>
          <w:trHeight w:val="27"/>
        </w:trPr>
        <w:tc>
          <w:tcPr>
            <w:tcW w:w="6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Maxwell, Private Equity Management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(Class I)</w:t>
            </w:r>
          </w:p>
        </w:tc>
      </w:tr>
      <w:tr>
        <w:trPr>
          <w:trHeight w:val="24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Jeffrey Titterton, Chief Marketing Officer, Stripe, Inc.</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(Class I)</w:t>
            </w:r>
          </w:p>
        </w:tc>
      </w:tr>
      <w:tr>
        <w:trPr>
          <w:trHeight w:val="27"/>
        </w:trPr>
        <w:tc>
          <w:tcPr>
            <w:tcW w:w="6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Chinh Chu, Senior Managing Director and Founder, CC Capital Partners, LLC</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(Class II)</w:t>
            </w:r>
          </w:p>
        </w:tc>
      </w:tr>
      <w:tr>
        <w:trPr>
          <w:trHeight w:val="24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Brett Watson, President, Koch Equity, LLC</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(Class II)</w:t>
            </w:r>
          </w:p>
        </w:tc>
      </w:tr>
      <w:tr>
        <w:trPr>
          <w:trHeight w:val="27"/>
        </w:trPr>
        <w:tc>
          <w:tcPr>
            <w:tcW w:w="6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Tracy Knox, self-employed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(Class II)</w:t>
            </w:r>
          </w:p>
        </w:tc>
      </w:tr>
      <w:tr>
        <w:trPr>
          <w:trHeight w:val="24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Harris, Senior Managing Director of Koch Equity Development LLC</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(Class III)</w:t>
            </w:r>
          </w:p>
        </w:tc>
      </w:tr>
      <w:tr>
        <w:trPr>
          <w:trHeight w:val="27"/>
        </w:trPr>
        <w:tc>
          <w:tcPr>
            <w:tcW w:w="6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Hilary Schneider, Chief Executive Officer, SimpliSafe, Inc.</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(Class III)</w:t>
            </w:r>
          </w:p>
        </w:tc>
      </w:tr>
      <w:tr>
        <w:trPr>
          <w:trHeight w:val="890"/>
        </w:trPr>
        <w:tc>
          <w:tcPr>
            <w:tcW w:w="60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115"/>
        </w:trPr>
        <w:tc>
          <w:tcPr>
            <w:tcW w:w="60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p>
      <w:pPr>
        <w:spacing w:after="0" w:line="227" w:lineRule="exact"/>
        <w:rPr>
          <w:sz w:val="20"/>
          <w:szCs w:val="20"/>
          <w:color w:val="auto"/>
        </w:rPr>
      </w:pPr>
    </w:p>
    <w:p>
      <w:pPr>
        <w:jc w:val="both"/>
        <w:ind w:right="20" w:firstLine="647"/>
        <w:spacing w:after="0" w:line="266" w:lineRule="auto"/>
        <w:rPr>
          <w:sz w:val="20"/>
          <w:szCs w:val="20"/>
          <w:color w:val="auto"/>
        </w:rPr>
      </w:pPr>
      <w:r>
        <w:rPr>
          <w:rFonts w:ascii="Times New Roman" w:cs="Times New Roman" w:eastAsia="Times New Roman" w:hAnsi="Times New Roman"/>
          <w:sz w:val="18"/>
          <w:szCs w:val="18"/>
          <w:color w:val="auto"/>
        </w:rPr>
        <w:t>All of our executive officers, other than Grant Farhall, Kjelti Kellough, Ken Mainardis and Daine Weston are located in the United States. For the biography of Craig Peters, our chief executive officer and director, see “</w:t>
      </w: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Mikael Cho</w:t>
      </w:r>
    </w:p>
    <w:p>
      <w:pPr>
        <w:spacing w:after="0" w:line="213"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Mr. Cho has served as Co-Founder and Chief Executive Officer for Unsplash, a subsidiary of the Company, since 2013 and is responsible for leading and operating Unsplash’s overall strategy and vision. In 2013, Mr. Cho founded Unsplash as a blog with ten photos and the mission to make world-class images accessible to enable everyone to create. Prior to founding Unsplash, Mr. Cho held co-founder and leadership roles at companies in the digital and creative sectors, including Crew, a marketplace for creative talent, Uber Foundry, a digital design studio, and WHYNOTBLUE Digital Agency.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Farhall</w:t>
      </w:r>
    </w:p>
    <w:p>
      <w:pPr>
        <w:spacing w:after="0" w:line="227"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Mr. Farhall has served as our Senior Vice President, Chief Product Officer since 2020, where he is responsible for our overall product strategy and vision. In his role, Mr. Farhall oversees our websites, user experiences, customer research and Generative AI strategy, with the aim of making it easier for our customers to discover, license and share content to connect with their audiences, and drive impact for the business. His career at Getty Images spans more than a decade, including his prior role as Vice President of Ecommerce from 2019 until 2020 and his role as General Manager of iStock from 2017 until 2019. Prior to joining Getty Images, Mr. Farhall worked in broadcast journalism and managed several design and web development agencies.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 Foca</w:t>
      </w:r>
    </w:p>
    <w:p>
      <w:pPr>
        <w:spacing w:after="0" w:line="227"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Mr. Foca has served as our Senior Vice President, Chief Marketing Officer since 2017 and effective May 1, 2023, as Senior Vice President, Chief Marketing and Revenue Officer. As Chief Marketing and Revenue Officer, Mr. Foca is responsible for leading global marketing, sales, ecommerce and communications for Getty Images, overseeing our brand portfolio, strategy and execution for all marketing channels from digital to communications, marketing data science and operations and global sales, including outbound sales, customer success and customer service. He has a wealth of experience across ecommerce, product and digital marketing, bringing over 20 years’ experience as a strategic and data driven leader, growing and building some of the world’s biggest content and ecommerce businesses. Mr. Foca joined Getty Images after nearly five years at Amazon in Seattle and New York from 2012 through 2016, working with Kindle and retail ecommerce, as well as a brief stint at Fresh Direct overseeing customer marketing. Prior to that, he served as SVP of Marketing for News Digital/News Corporation, where he focused on content app launches and subscription marketing from 2010 until 2011. He previously spent nearly 19 years at Time Warner in senior ecommerce and consumer marketing leadership roles, primarily with the Time Incorporated division from 1991 until 2010.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Nate Gandert</w:t>
      </w:r>
    </w:p>
    <w:p>
      <w:pPr>
        <w:spacing w:after="0" w:line="227"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Mr. Gandert has served as our Senior Vice President, Chief Technology Officer since 2016. In his role as Chief Technology Officer, Mr. Gandert is responsible for leading our overall technology strategy and vision, as well as our data and insights capabilities. Mr. Gandert oversees all advancements, innovations and operations delivered by the technology and product functions, including our search architecture, application and software development, ecommerce platform and websites with the aim of enriching our product offering to better serve customers worldwide. His remit also includes the development of internal and customer value using data, AI and machine learning.</w:t>
      </w:r>
    </w:p>
    <w:p>
      <w:pPr>
        <w:spacing w:after="0" w:line="182" w:lineRule="exact"/>
        <w:rPr>
          <w:sz w:val="20"/>
          <w:szCs w:val="20"/>
          <w:color w:val="auto"/>
        </w:rPr>
      </w:pPr>
    </w:p>
    <w:p>
      <w:pPr>
        <w:jc w:val="both"/>
        <w:ind w:firstLine="647"/>
        <w:spacing w:after="0" w:line="265" w:lineRule="auto"/>
        <w:rPr>
          <w:sz w:val="20"/>
          <w:szCs w:val="20"/>
          <w:color w:val="auto"/>
        </w:rPr>
      </w:pPr>
      <w:r>
        <w:rPr>
          <w:rFonts w:ascii="Times New Roman" w:cs="Times New Roman" w:eastAsia="Times New Roman" w:hAnsi="Times New Roman"/>
          <w:sz w:val="18"/>
          <w:szCs w:val="18"/>
          <w:color w:val="auto"/>
        </w:rPr>
        <w:t>Mr. Gandert’s career at Getty Images spans over 14 years during which time he has served in various vice president, senior director, director and professional level roles. Prior to joining Getty Images, Mr. Gandert held vice president and leadership roles at other companies in the ecommerce and media sectors, holding more than 25 years of industry experience overall.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Chris Hoel</w:t>
      </w:r>
    </w:p>
    <w:p>
      <w:pPr>
        <w:spacing w:after="0" w:line="227" w:lineRule="exact"/>
        <w:rPr>
          <w:sz w:val="20"/>
          <w:szCs w:val="20"/>
          <w:color w:val="auto"/>
        </w:rPr>
      </w:pPr>
    </w:p>
    <w:p>
      <w:pPr>
        <w:jc w:val="both"/>
        <w:ind w:right="20" w:firstLine="647"/>
        <w:spacing w:after="0" w:line="281" w:lineRule="auto"/>
        <w:rPr>
          <w:sz w:val="20"/>
          <w:szCs w:val="20"/>
          <w:color w:val="auto"/>
        </w:rPr>
      </w:pPr>
      <w:r>
        <w:rPr>
          <w:rFonts w:ascii="Times New Roman" w:cs="Times New Roman" w:eastAsia="Times New Roman" w:hAnsi="Times New Roman"/>
          <w:sz w:val="18"/>
          <w:szCs w:val="18"/>
          <w:color w:val="auto"/>
        </w:rPr>
        <w:t>Mr. Hoel has served as Vice President, Finance and Chief Accounting Officer of Getty Images since April 2014. Mr. Hoel is responsible for Getty Images’ Accounting, External Financial Reporting, and Finance Operations functions,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and has over 30 years of accounting and finance experience. He joined Getty Images in 2009 as the Director, Finance, before being promoted to Senior Director, Finance in 2011, and then Vice President, Finance in 2013 and to Vice President, Chief Accounting Officer in 2014. Mr. Hoel previously held the role of Corporate Controller for Fisher Communications, Inc. from July 2005 to March 2009, and Controller/Associate Director of SEC Reporting for Xcyte Therapies from February 2001 to July 2005. Prior to his career with Xcyte Therapies, Mr. Hoel held progressively more responsible financial/accounting positions in both public accounting and private industry.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Hoel earned his bachelor’s degree in Accounting from Central Washington University and has been a Certified Public Accountant since 1995.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Jerry Jenkins</w:t>
      </w:r>
    </w:p>
    <w:p>
      <w:pPr>
        <w:spacing w:after="0" w:line="227" w:lineRule="exact"/>
        <w:rPr>
          <w:sz w:val="20"/>
          <w:szCs w:val="20"/>
          <w:color w:val="auto"/>
        </w:rPr>
      </w:pPr>
    </w:p>
    <w:p>
      <w:pPr>
        <w:ind w:right="120" w:firstLine="647"/>
        <w:spacing w:after="0" w:line="260" w:lineRule="auto"/>
        <w:rPr>
          <w:sz w:val="20"/>
          <w:szCs w:val="20"/>
          <w:color w:val="auto"/>
        </w:rPr>
      </w:pPr>
      <w:r>
        <w:rPr>
          <w:rFonts w:ascii="Times New Roman" w:cs="Times New Roman" w:eastAsia="Times New Roman" w:hAnsi="Times New Roman"/>
          <w:sz w:val="18"/>
          <w:szCs w:val="18"/>
          <w:color w:val="auto"/>
        </w:rPr>
        <w:t>Mr. Jenkins joined Getty Images in May 2025 as Senior Vice President, Chief Human Resources Officer overseeing all aspects of the company’s diverse global workforce. Mr. Jenkins has an extensive background leading people operations and global talent acquisition in dynamic organizations. Prior to joining Getty Images, Mr. Jenkins served as both Chief People Officer and Chief Administrative Officer for Doma Technology LLC, building the HR functions and teams from the ground up, designing a comprehensive human capital strategy and implementing an efficient and scalable infrastructure.</w:t>
      </w:r>
    </w:p>
    <w:p>
      <w:pPr>
        <w:spacing w:after="0" w:line="182" w:lineRule="exact"/>
        <w:rPr>
          <w:sz w:val="20"/>
          <w:szCs w:val="20"/>
          <w:color w:val="auto"/>
        </w:rPr>
      </w:pPr>
    </w:p>
    <w:p>
      <w:pPr>
        <w:ind w:right="60" w:firstLine="647"/>
        <w:spacing w:after="0" w:line="260" w:lineRule="auto"/>
        <w:rPr>
          <w:sz w:val="20"/>
          <w:szCs w:val="20"/>
          <w:color w:val="auto"/>
        </w:rPr>
      </w:pPr>
      <w:r>
        <w:rPr>
          <w:rFonts w:ascii="Times New Roman" w:cs="Times New Roman" w:eastAsia="Times New Roman" w:hAnsi="Times New Roman"/>
          <w:sz w:val="18"/>
          <w:szCs w:val="18"/>
          <w:color w:val="auto"/>
        </w:rPr>
        <w:t>Mr. Jenkins has served on the board of INROADS, Inc. as Vice-Chair for the Rocky Mountain Region and participated in the Drury University Mentoring Network, helping students gain industry-relevant skills and knowledge prior to entering the workforce. Mr. Jenkins earned his B.S. Degree from Drury University and his M.B.A. in Human Resources Management from Baker College - Center for Graduate Studies and has also been certified as a Global Professional in Human Resources (GPHR) by the Human Resources Certification Institute (HRCI).</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Kjelti Kellough</w:t>
      </w:r>
    </w:p>
    <w:p>
      <w:pPr>
        <w:spacing w:after="0" w:line="227" w:lineRule="exact"/>
        <w:rPr>
          <w:sz w:val="20"/>
          <w:szCs w:val="20"/>
          <w:color w:val="auto"/>
        </w:rPr>
      </w:pPr>
    </w:p>
    <w:p>
      <w:pPr>
        <w:jc w:val="both"/>
        <w:ind w:firstLine="647"/>
        <w:spacing w:after="0" w:line="255" w:lineRule="auto"/>
        <w:rPr>
          <w:sz w:val="20"/>
          <w:szCs w:val="20"/>
          <w:color w:val="auto"/>
        </w:rPr>
      </w:pPr>
      <w:r>
        <w:rPr>
          <w:rFonts w:ascii="Times New Roman" w:cs="Times New Roman" w:eastAsia="Times New Roman" w:hAnsi="Times New Roman"/>
          <w:sz w:val="18"/>
          <w:szCs w:val="18"/>
          <w:color w:val="auto"/>
        </w:rPr>
        <w:t>Ms. Kellough has served as our Senior Vice President, General Counsel since 2019. In her role as Senior Vice President, General Counsel, Ms. Kellough leads our global Legal and Facilities functions and is responsible for overseeing its worldwide legal affairs, including corporate governance, compliance, governmental relations, litigation, intellectual property and corporate matters, and real estate and facilities matters. Prior to her current role as our Senior Vice President General Counsel, Ms. Kellough served as Vice President, Corporate Counsel from 2012 until 2019, overseeing corporate commercial legal matters for the Americas, as well as global legal support for our product and marketing functions. Ms. Kellough also held various Senior Director and Director roles with Getty Images. Ms. Kellough has more than 25 years of legal experience and prior to joining Getty Images in 2009, Ms. Kellough was a corporate finance partner at TingleMerrett LLP and an intellectual property and corporate associate at Blake, Cassels &amp; Graydon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Jennifer Leyden</w:t>
      </w:r>
    </w:p>
    <w:p>
      <w:pPr>
        <w:spacing w:after="0" w:line="227"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Ms. Leyden has served as our Senior Vice President, Chief Financial Officer since January 2022. As Chief Financial Officer, Ms. Leyden is responsible for our Global Finance and Accounting, Financial Reporting and Analysis, Tax, Treasury, and Investor Relations functions. Ms. Leyden has more than 25 years of financial, accounting and leadership experience. She joined Getty Images in 2016 as the Senior Director, Enterprise Reporting and Analysis, before being promoted to Vice President, Financial Planning and Analysis in February 2019, Senior Vice President of Investor Relations and Finance in 2021 and to CFO in 2022. Before joining Getty Images, Ms. Leyden held the role of CFO for six years at Physique 57, a global fitness brand. In this role, she led Physique 57 through a period of rapid expansion and topline growth, driving scalable cost base efficiencies while navigating the business through a period of dynamic and explosive growth in the broader health and wellness industry. Ms. Leyden also spent 10 years at Sony Music Entertainment in several progressively impactful financial roles, ending her tenure there as the Senior Director of Finance for Columbia Records, one of the largest and most iconic record labels in the world. She launched her career by becoming licensed as a Certified Public Accountant and spent four years in public accounting.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Ken Mainardis</w:t>
      </w:r>
    </w:p>
    <w:p>
      <w:pPr>
        <w:spacing w:after="0" w:line="173"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Mr. Mainardis was appointed as our Senior Vice President, Editorial in October 2023, and he previously served as our Senior Vice President, Global Content. He oversees all of our content divisions across its editorial spectrum. From sport, entertainment, news, to archival product lines, Mr. Mainardis has responsibility for overseeing the production and licensing of photography, video, paid assignment solutions and associated services. Mr. Mainardis joined Getty Images in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8"/>
          <w:szCs w:val="18"/>
          <w:color w:val="auto"/>
        </w:rPr>
        <w:t>2004 as Managing Editor, EMEA and a year later became Director of Editorial Photography with a focus on major editorial events. In April 2010, Mr. Mainardis took on the new role of Senior Director, Editorial Services and Events with a global brief responsible for editorial event operations and services. In February 2013, he was appointed Vice President, Sports Imagery and Operations, before being promoted to Senior Vice President of Editorial in 2017. Mr. Mainardis began his career in 1995 as an assignments editor for the Reuters News Agency in their London bureau, before taking on the role of Global Sports Editor for Reuters Pictures in 2000. Mr. Mainardis is also a board member of the News Media Coalition, a not-for-profit trade organization protecting the news media’s access to events of public interest.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Peter Orlowsky</w:t>
      </w:r>
    </w:p>
    <w:p>
      <w:pPr>
        <w:spacing w:after="0" w:line="227"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Mr. Orlowsky has served as our Senior Vice President, Strategic Development since 2017. Mr. Orlowsky is responsible for evaluating and building key business strategies and partnerships, as well as for identifying and developing new business opportunities for Getty Images. In this role, Mr. Orlowsky drives global content licensing and distribution deals with leading technology, multimedia and service providers worldwide, as well as oversees our relationships with global partners. Mr. Orlowsky has been with Getty Images for over 20 years, serving several roles at various levels including Vice President and Senior Director, across Getty Images in business development and sales.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Michael Teaster</w:t>
      </w:r>
    </w:p>
    <w:p>
      <w:pPr>
        <w:spacing w:after="0" w:line="227"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As our Senior Vice President, Chief of Staff, since September 2022, Mr. Teaser supports our Global Leadership Team and our Board of Directors with company planning, priority management, and delivery. Mr. Teaster has 30 years of industry-related experience and has served in several executive roles for Getty Images. Prior to his current role, Mr. Teaster served as Senior Vice President of Business Operations from 2017 to 2019, before which he also served as Senior Vice President of Global Sales from 2008 to 2017, among other executive roles. Previously, Mr. Teaster served as Vice President of Licensee Relations for The Image Bank, a company that was later acquired by Getty Images in 1999.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Daine Weston</w:t>
      </w:r>
    </w:p>
    <w:p>
      <w:pPr>
        <w:spacing w:after="0" w:line="227"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Mr. Weston was appointed Senior Vice President, Ecommerce in May 2023. As the Senior Vice President of Ecommerce, Mr. Weston leads Getty Images’ efforts to enhance its online business by delivering exceptional customer experience across its ecommerce platform and websites, digital marketing initiatives, SEO strategy, and ecommerce operations. Based in New York, Mr. Weston sits on the company’s executive team, providing valuable insights and strategic direction to support the company’s growth. With over 15 years of experience in digital marketing, he has made significant contributions to Getty Images’ success. He was instrumental in developing a scalable global model for display and remarketing efforts across multiple brands and countries during his time in Calgary. As the head of Getty Images EMEA Digital Marketing team in London, Mr. Weston successfully drove growth in customer acquisition across all paid marketing channels. As Vice President of Digital Marketing &amp; Demand Generation at Getty Images, he oversaw customer acquisition, paid marketing investments, and demand generation efforts globally.</w:t>
      </w:r>
    </w:p>
    <w:p>
      <w:pPr>
        <w:spacing w:after="0" w:line="189" w:lineRule="exact"/>
        <w:rPr>
          <w:sz w:val="20"/>
          <w:szCs w:val="20"/>
          <w:color w:val="auto"/>
        </w:rPr>
      </w:pPr>
    </w:p>
    <w:p>
      <w:pPr>
        <w:jc w:val="both"/>
        <w:ind w:firstLine="647"/>
        <w:spacing w:after="0" w:line="265" w:lineRule="auto"/>
        <w:rPr>
          <w:sz w:val="20"/>
          <w:szCs w:val="20"/>
          <w:color w:val="auto"/>
        </w:rPr>
      </w:pPr>
      <w:r>
        <w:rPr>
          <w:rFonts w:ascii="Times New Roman" w:cs="Times New Roman" w:eastAsia="Times New Roman" w:hAnsi="Times New Roman"/>
          <w:sz w:val="18"/>
          <w:szCs w:val="18"/>
          <w:color w:val="auto"/>
        </w:rPr>
        <w:t>Prior to joining Getty Images in 2015, Mr. Weston was a key player at OMD Digital and OMD International, where he led efforts for major clients such as Vodafone, Sky Television, McDonald’s, Johnson &amp; Johnson, Air New Zealand and Sony. Mr. Weston received a double major in advertising and marketing from AUT University in Auckland, New Zealand.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 Getty</w:t>
      </w:r>
    </w:p>
    <w:p>
      <w:pPr>
        <w:spacing w:after="0" w:line="227"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Mr. Getty has served as the Chair of our Board of Directors since he co-founded Getty Images in March 1995 and was Executive Chair of Getty Images through 2005. From 2005 to 2018, he was a non-executive director on our Board of Directors and in 2018 resumed the role of Chair on a resumption of control of Getty Images by the Getty Family Stockholders. In the late 1980s, Mr. Getty began his professional career with Kidder Peabody in New York and then joined Hambros Bank Limited in London in 1991.</w:t>
      </w:r>
    </w:p>
    <w:p>
      <w:pPr>
        <w:spacing w:after="0" w:line="195" w:lineRule="exact"/>
        <w:rPr>
          <w:sz w:val="20"/>
          <w:szCs w:val="20"/>
          <w:color w:val="auto"/>
        </w:rPr>
      </w:pPr>
    </w:p>
    <w:p>
      <w:pPr>
        <w:jc w:val="both"/>
        <w:ind w:firstLine="647"/>
        <w:spacing w:after="0" w:line="232" w:lineRule="auto"/>
        <w:rPr>
          <w:sz w:val="20"/>
          <w:szCs w:val="20"/>
          <w:color w:val="auto"/>
        </w:rPr>
      </w:pPr>
      <w:r>
        <w:rPr>
          <w:rFonts w:ascii="Times New Roman" w:cs="Times New Roman" w:eastAsia="Times New Roman" w:hAnsi="Times New Roman"/>
          <w:sz w:val="18"/>
          <w:szCs w:val="18"/>
          <w:color w:val="auto"/>
        </w:rPr>
        <w:t>In his capacity as Trustee and Director of various Getty family entities, Mr. Getty oversees a diverse program of investments in all asset classes. In addition, he has been particularly involved in the family’s direct private equity investment activities, which have included: Wisden Crincinfo, a leading online publisher of cricket data; Hawk-Eye, a sports technology business that is a leader in ball tracking for officiating and broadcast enhancement in tennis, soccer and cricket; Hakluyt, a UK-based provider of commercial and strategic intelligence and research services to major corporate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 w:name="page8"/>
    <w:bookmarkEnd w:id="7"/>
    <w:p>
      <w:pPr>
        <w:jc w:val="both"/>
        <w:spacing w:after="0" w:line="250" w:lineRule="auto"/>
        <w:rPr>
          <w:sz w:val="20"/>
          <w:szCs w:val="20"/>
          <w:color w:val="auto"/>
        </w:rPr>
      </w:pPr>
      <w:r>
        <w:rPr>
          <w:rFonts w:ascii="Times New Roman" w:cs="Times New Roman" w:eastAsia="Times New Roman" w:hAnsi="Times New Roman"/>
          <w:sz w:val="18"/>
          <w:szCs w:val="18"/>
          <w:color w:val="auto"/>
        </w:rPr>
        <w:t>and financial institutions; and the And Beyond Group, where Mr. Getty also acts as the Co-Chairman, a leading luxury adventure travel and lodging business.</w:t>
      </w:r>
    </w:p>
    <w:p>
      <w:pPr>
        <w:spacing w:after="0" w:line="189" w:lineRule="exact"/>
        <w:rPr>
          <w:sz w:val="20"/>
          <w:szCs w:val="20"/>
          <w:color w:val="auto"/>
        </w:rPr>
      </w:pPr>
    </w:p>
    <w:p>
      <w:pPr>
        <w:jc w:val="both"/>
        <w:ind w:right="20" w:firstLine="647"/>
        <w:spacing w:after="0" w:line="281" w:lineRule="auto"/>
        <w:rPr>
          <w:sz w:val="20"/>
          <w:szCs w:val="20"/>
          <w:color w:val="auto"/>
        </w:rPr>
      </w:pPr>
      <w:r>
        <w:rPr>
          <w:rFonts w:ascii="Times New Roman" w:cs="Times New Roman" w:eastAsia="Times New Roman" w:hAnsi="Times New Roman"/>
          <w:sz w:val="18"/>
          <w:szCs w:val="18"/>
          <w:color w:val="auto"/>
        </w:rPr>
        <w:t>Mr. Getty was a trustee of the National Gallery in London between 1999 and 2015, as well as its Chair between 2008 and 2015. He was appointed KBE in 2016 in recognition of his services to the Arts. In 2016, he became the Chair of Trustees of the British School in Rome.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Craig Peters</w:t>
      </w:r>
    </w:p>
    <w:p>
      <w:pPr>
        <w:spacing w:after="0" w:line="213" w:lineRule="exact"/>
        <w:rPr>
          <w:sz w:val="20"/>
          <w:szCs w:val="20"/>
          <w:color w:val="auto"/>
        </w:rPr>
      </w:pPr>
    </w:p>
    <w:p>
      <w:pPr>
        <w:jc w:val="both"/>
        <w:ind w:firstLine="190"/>
        <w:spacing w:after="0" w:line="265" w:lineRule="auto"/>
        <w:rPr>
          <w:sz w:val="20"/>
          <w:szCs w:val="20"/>
          <w:color w:val="auto"/>
        </w:rPr>
      </w:pPr>
      <w:r>
        <w:rPr>
          <w:rFonts w:ascii="Times New Roman" w:cs="Times New Roman" w:eastAsia="Times New Roman" w:hAnsi="Times New Roman"/>
          <w:sz w:val="18"/>
          <w:szCs w:val="18"/>
          <w:color w:val="auto"/>
        </w:rPr>
        <w:t>Craig Peters has served as our Chief Executive Officer and a director since 2019. As CEO, Mr. Peters has overarching responsibility for the organization across its Getty Images, iStock and Unsplash brands. Mr. Peters joined Getty Images in 2007 and prior to being appointed CEO in 2019, he served as Chief Operating Officer with previous leadership roles across Content, Product, Marketing, Technology and Business Development.</w:t>
      </w:r>
    </w:p>
    <w:p>
      <w:pPr>
        <w:spacing w:after="0" w:line="177"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Prior to joining Getty Images, Mr. Peters held key leadership roles in media and technology within established and early stage organizations. These included WireImage (acquired by Getty Images), FOX Sports Interactive, the PGA TOUR, Homestead.com (acquired by Intuit) and positions with A. T. Kearney and Eastman Kodak Company. In 2005 while at the PGA TOUR, Craig accepted an Emmy by the National Television Academy for Outstanding Achievement in Advanced Media Technology for the Enhancement of Original Television Content. Mr. Peters holds an MBA from The Wharton School of Business and a BS in Finance from the Ohio State University.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Chinh Chu</w:t>
      </w:r>
    </w:p>
    <w:p>
      <w:pPr>
        <w:spacing w:after="0" w:line="240"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231F20"/>
        </w:rPr>
        <w:t>Mr. Chu has served as a director on our Board of Directors since the Closing Date of July 2022 and previously served as Chief Executive Officer and Director of CCNB from May 2020 through the Closing Date. He is the Founder and Senior Managing Director of CC Capital, a private investment firm focused on investing in and operating high-quality businesses for the long term. In May 2025, he was appointed President of M-3 Brigade Acquisition V Corp. (NASDAQ: MBAV), which then announced a business combination agreement with ReserveOne, Inc. He led CC Capital’s incubation of Ceres Life Insurance Company, an annuity platform, and the platform’s combination with Westaim and Arena Investors, LP to create an integrated insurance and asset management platform. Since founding CC Capital in 2015, Mr. Chu has also spearheaded the firm’s investments in Wilshire, Utz Brands (NYSE: UTZ), E2open (NYSE: ETWO), and Dun &amp; Bradstreet (NYSE: DNB), which CC Capital took private in a $7.2 billion acquisition that closed in February 2019 before its subsequent IPO in July 2020.</w:t>
      </w:r>
    </w:p>
    <w:p>
      <w:pPr>
        <w:spacing w:after="0" w:line="216"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231F20"/>
        </w:rPr>
        <w:t>Prior to founding CC Capital, Mr. Chu spent 25 years at Blackstone, where he served as Senior Managing Director, Co-Head of Private Equity, and a member of the firm’s Executive Committee. Mr. Chu is currently Executive Chair of the Board of The Westaim Corporation (TSXV: WED). Mr. Chu has previously served on the boards of numerous public and private companies, including serving as Chairman of the Board of E2 Open and as a Director of Dun &amp; Bradstreet until August 2025, and as Vice Chairman of Collier Creek Holdings (NYSE: CCH) until August 2020, when it consummated the acquisition of Utz Brands Holdings, LLC, the parent company of Utz Quality Foods, LLC to form Utz Brands (NYSE: UTZ).</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Mr. Chu began his career at Salomon Brothers in the M&amp;A group and holds a B.S. in Finance from the University of Buffalo.</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Michael Harris</w:t>
      </w:r>
    </w:p>
    <w:p>
      <w:pPr>
        <w:spacing w:after="0" w:line="213"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Mr. Harris has served on our Board of Directors since February 2019. Mr. Harris serves as a Managing Director of Koch Equity Development, where he has been employed since October 2013. Mr. Harris is responsible for the origination, evaluation and execution of acquisitions and investments for Koch, Inc. In this capacity, he evaluates opportunities across industries with specific expertise in the software, technology, aerospace and defense, and industrial manufacturing sectors. Prior to joining Koch, Mr. Harris worked for Bank of America Merrill Lynch advising clients on mergers and acquisitions, capital deployment and structured equity capital alternatives from 2011 to 2013. He has also previously worked at Orbital Sciences Corporation as a mechanical engineer in their Launch Systems group from 2005 to 2011.</w:t>
      </w:r>
    </w:p>
    <w:p>
      <w:pPr>
        <w:spacing w:after="0" w:line="186" w:lineRule="exact"/>
        <w:rPr>
          <w:sz w:val="20"/>
          <w:szCs w:val="20"/>
          <w:color w:val="auto"/>
        </w:rPr>
      </w:pPr>
    </w:p>
    <w:p>
      <w:pPr>
        <w:jc w:val="both"/>
        <w:ind w:firstLine="647"/>
        <w:spacing w:after="0" w:line="265" w:lineRule="auto"/>
        <w:rPr>
          <w:sz w:val="20"/>
          <w:szCs w:val="20"/>
          <w:color w:val="auto"/>
        </w:rPr>
      </w:pPr>
      <w:r>
        <w:rPr>
          <w:rFonts w:ascii="Times New Roman" w:cs="Times New Roman" w:eastAsia="Times New Roman" w:hAnsi="Times New Roman"/>
          <w:sz w:val="18"/>
          <w:szCs w:val="18"/>
          <w:color w:val="auto"/>
        </w:rPr>
        <w:t>In addition to his board position at Getty Images, Mr. Harris has served as a board manager of ASP CPM Holdings LLC since 2024 and a board observer of Infor since 2017. He formerly served on the board of Truck-Lite, a leading manufacturer of lighting solutions for commercial and off-road vehicles from December 2015 to December 2019.</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8" w:name="page9"/>
    <w:bookmarkEnd w:id="8"/>
    <w:p>
      <w:pPr>
        <w:jc w:val="both"/>
        <w:spacing w:after="0" w:line="281" w:lineRule="auto"/>
        <w:rPr>
          <w:sz w:val="20"/>
          <w:szCs w:val="20"/>
          <w:color w:val="auto"/>
        </w:rPr>
      </w:pPr>
      <w:r>
        <w:rPr>
          <w:rFonts w:ascii="Times New Roman" w:cs="Times New Roman" w:eastAsia="Times New Roman" w:hAnsi="Times New Roman"/>
          <w:sz w:val="18"/>
          <w:szCs w:val="18"/>
          <w:color w:val="auto"/>
        </w:rPr>
        <w:t>Mr. Harris holds his B.S. and M.S. degrees in Mechanical Engineering from Brigham Young University. He also holds a M.B.A degree from Columbia Business School.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Tracy Knox</w:t>
      </w:r>
    </w:p>
    <w:p>
      <w:pPr>
        <w:spacing w:after="0" w:line="173"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Ms. Knox has served as a director on our Board of Directors since April 2024, and she previously served as the Chief Financial Officer of Rover Group, the world’s largest online marketplace for pet care from 2017 through its public listing and SPAC merger in 2021, eventually retiring at the end of 2022. Prior to that, Ms. Knox served as Chief Financial Officer of Rightside, a leading domain name service company from its public listing in 2014 until it’s sale in 2017, as Chief Financial Officer at A Place for Mom from 2013 until 2014, as Chief Financial Officer at UIEvolution from 2011 until 2013, and at drugstore.com from 2003, including as Chief Finance Officer from 2008 until 2011.</w:t>
      </w:r>
    </w:p>
    <w:p>
      <w:pPr>
        <w:spacing w:after="0" w:line="182" w:lineRule="exact"/>
        <w:rPr>
          <w:sz w:val="20"/>
          <w:szCs w:val="20"/>
          <w:color w:val="auto"/>
        </w:rPr>
      </w:pPr>
    </w:p>
    <w:p>
      <w:pPr>
        <w:jc w:val="both"/>
        <w:ind w:firstLine="647"/>
        <w:spacing w:after="0" w:line="281" w:lineRule="auto"/>
        <w:rPr>
          <w:sz w:val="20"/>
          <w:szCs w:val="20"/>
          <w:color w:val="auto"/>
        </w:rPr>
      </w:pPr>
      <w:r>
        <w:rPr>
          <w:rFonts w:ascii="Times New Roman" w:cs="Times New Roman" w:eastAsia="Times New Roman" w:hAnsi="Times New Roman"/>
          <w:sz w:val="18"/>
          <w:szCs w:val="18"/>
          <w:color w:val="auto"/>
        </w:rPr>
        <w:t>Ms. Knox also serves on the boards of Babylist since 2021 and Pet Partners since 2023. Ms. Knox holds a B.S. in Accounting from Indiana University and a M.B.A. with honors from University of Washington.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Patrick Maxwell</w:t>
      </w:r>
    </w:p>
    <w:p>
      <w:pPr>
        <w:spacing w:after="0" w:line="227"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Mr. Maxwell has served as a member of our Board of Directors since October 2012. Mr. Maxwell has followed a career in private equity investment management since 1991, initially working with the UK-based investment bank, Hambros. Amongst other deals he was involved with, Mr. Maxwell led Hambros’ co-investment alongside the Getty family in the founding of Getty Images. Mr. Maxwell also spent four years living and working in South Africa establishing an investment banking business for Hambros in that region. In May 2004, Mr. Maxwell began working with Mark Getty and the Getty family office, Sutton Place. Mr. Maxwell’s primary focus has been to build family wealth via long term business-building investments in the content-based media sector, including Getty Images, the Wisden Cricinfo group, 7 Digital, Hawk-Eye Innovations and Hakluyt &amp; Co. Mr. Maxwell has also been involved in the oversight of Getty family interests in Wormsley Estate (the Getty family’s home and multi-activity rural estate in the UK) and in &amp;Beyond (a South African-based luxury adventure travel and lodging business).</w:t>
      </w:r>
    </w:p>
    <w:p>
      <w:pPr>
        <w:spacing w:after="0" w:line="216"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In addition to his board position at Getty Images, Mr. Maxwell has served on the board of directors of &amp;Beyond since July 2007, the Management Committee of the Munywana Conservancy Controllers' Association since July 2025 and the Board of Trustees of The Africa Foundation Trust since November 2014. Mr. Maxwell also served as a Partner of Sutton Place Managers LLP from May 2004 to May 2019. Mr. Maxwell was a Trustee of the Royal Ballet School from 2000 to 2011, a Trustee and Investment Committee Chairman of the Henry Smith Charity, £1 billion endowment-based grant-making charity, from 2011 to 2019 and a Director of the UK Tennis &amp; Rackets Association from 2013 to 2018. Mr. Maxwell is a graduate of Oxford University and qualified as a Chartered Accountant with PWC in 1990.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Hilary Schneider</w:t>
      </w:r>
    </w:p>
    <w:p>
      <w:pPr>
        <w:spacing w:after="0" w:line="227"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Ms. Schneider has served on our Board of Directors since 2020 and was appointed as the Chief Executive Officer of SimpliSafe, Inc. in November 2025. Ms. Schneider is the former Chief Executive Officer, from 2020 to 2023, and also served as Strategic Advisor to the board of directors of Shutterfly, a leading ecommerce and manufacturing platform for personalized products and custom design. Ms. Schneider previously served as Chief Executive Officer of Wag!, the country’s largest on-demand mobile dog walking and dog care service, from 2018 to 2019. Prior to this role, Ms. Schneider served as President and CEO of LifeLock, the leader in identity theft protection, through its public listing and acquisition by Symantec, as well as serving in a series of executive positions at Yahoo! from 2006 to 2010 and in several senior leadership roles at Knight Ridder from 2002 to 2005.</w:t>
      </w:r>
    </w:p>
    <w:p>
      <w:pPr>
        <w:spacing w:after="0" w:line="186"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In addition to her board position at Getty Images, Ms. Schneider also serves on the boards of Vail Resorts, Inc. (NYSE: MTN) and Digital Ocean Holdings, Inc. (NYSE: DOCN) since 2010, and Sleep Number Corporation (NASDAQ: SNBR) since 2023, and Omaze, Inc., since 2025. She also serves on the board of the non-profit, American Journalism Project. Ms. Schneider holds a B.A. in economics from Brown University and an M.B.A. from Harvard Business School.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Jeffrey Titterton</w:t>
      </w:r>
    </w:p>
    <w:p>
      <w:pPr>
        <w:spacing w:after="0" w:line="213"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Mr. Titterton has served on our Board of Directors since November 2022, and was appointed as a member of our Audit Committee on April 1, 2026. Mr. Titterton currently serves as the Chief Marketing Officer of Stripe, Inc., and served as the Chief Operating Officer of Zendesk Inc. from April 2021 until November 2022. He previously served as Zendesk Inc.’s Chief Marketing Officer from October 2018 until April 2021 and its Senior Vice President, Marketing from May 2017 to October 2018. From January 2017 to May 2017, Mr. Titterton served as the Head of Global Campaign and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Engagement Marketing for Adobe Inc., a software company, and as Head of Engagement Marketing, Creative Cloud, from August 2013 to January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that, Mr. Titterton served as the Chief Marketing Officer for 99designs, a graphic design marketplace, from August 2011 to August 2013.</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Titterton holds a B.A. in English with a concentration in economics from Cornell University.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Brett Watson</w:t>
      </w:r>
    </w:p>
    <w:p>
      <w:pPr>
        <w:spacing w:after="0" w:line="227"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Mr. Watson has served on our Board of Directors since February 2019. Since January 1, 2026, Mr. Watson has served as President of Koch Equity, LLC overseeing Koch Equity Development, Koch Disruptive Technologies, and Koch Real Estate Investments. During the preceding five years, Mr. Watson served as President of Koch Equity Development LLC. Mr. Watson is also an officer of Koch, Inc., where he serve as Vice President, Equity Development.</w:t>
      </w:r>
    </w:p>
    <w:p>
      <w:pPr>
        <w:spacing w:after="0" w:line="182"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In addition to his board position at Getty Images, Mr. Watson currently serves on the boards of directors of the parent companies of Infor, Hexagon AB, Transaction Network Services, MITER Brands, and Molex, and serves as Chairman of the board of Octave. He also serve as a member of the Nomination Committee of Hexagon AB. He formerly served on the boards of directors of Hexagon AB, ADT Inc., Solera Holdings Inc., Globus, and the Flint Group. Mr. Watson earned both his B.S. and M.B.A. degrees from Binghamton University.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Composition</w:t>
      </w:r>
    </w:p>
    <w:p>
      <w:pPr>
        <w:spacing w:after="0" w:line="159" w:lineRule="exact"/>
        <w:rPr>
          <w:sz w:val="20"/>
          <w:szCs w:val="20"/>
          <w:color w:val="auto"/>
        </w:rPr>
      </w:pPr>
    </w:p>
    <w:p>
      <w:pPr>
        <w:jc w:val="both"/>
        <w:ind w:firstLine="405"/>
        <w:spacing w:after="0" w:line="265" w:lineRule="auto"/>
        <w:rPr>
          <w:sz w:val="20"/>
          <w:szCs w:val="20"/>
          <w:color w:val="auto"/>
        </w:rPr>
      </w:pPr>
      <w:r>
        <w:rPr>
          <w:rFonts w:ascii="Times New Roman" w:cs="Times New Roman" w:eastAsia="Times New Roman" w:hAnsi="Times New Roman"/>
          <w:sz w:val="18"/>
          <w:szCs w:val="18"/>
          <w:color w:val="auto"/>
        </w:rPr>
        <w:t>Our business and affairs are organized under the direction of our Board of Directors. Our Board of Directors currently consists of nine members. The primary responsibilities of our Board of Directors are to provide oversight, strategic guidance, counseling and direction to our management. Our Board of Directors meets on a regular basis and additionally as required.</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our Board of Directors is divided into three classes, Class I, Class II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III, with members of each class serving staggered three-year terms. Currently, our Board of Directors is divided into the following classes:</w:t>
      </w:r>
    </w:p>
    <w:p>
      <w:pPr>
        <w:spacing w:after="0" w:line="98" w:lineRule="exact"/>
        <w:rPr>
          <w:sz w:val="20"/>
          <w:szCs w:val="20"/>
          <w:color w:val="auto"/>
        </w:rPr>
      </w:pPr>
    </w:p>
    <w:p>
      <w:pPr>
        <w:ind w:left="580" w:right="20" w:hanging="168"/>
        <w:spacing w:after="0" w:line="281" w:lineRule="auto"/>
        <w:tabs>
          <w:tab w:leader="none" w:pos="5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which consists of Patrick Maxwell and Jeffrey Titterton, whose terms will expire at the Company's annual meeting of stockholders to be held in 2026;</w:t>
      </w:r>
    </w:p>
    <w:p>
      <w:pPr>
        <w:spacing w:after="0" w:line="54" w:lineRule="exact"/>
        <w:rPr>
          <w:rFonts w:ascii="Times New Roman" w:cs="Times New Roman" w:eastAsia="Times New Roman" w:hAnsi="Times New Roman"/>
          <w:sz w:val="18"/>
          <w:szCs w:val="18"/>
          <w:color w:val="auto"/>
        </w:rPr>
      </w:pPr>
    </w:p>
    <w:p>
      <w:pPr>
        <w:ind w:left="580" w:hanging="168"/>
        <w:spacing w:after="0" w:line="281" w:lineRule="auto"/>
        <w:tabs>
          <w:tab w:leader="none" w:pos="5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which consists of Mark Getty, Chinh Chu, Tracy Knox and Brett Watson, whose terms will expire at the Company’s annual meeting of stockholders to be held in 2027; and</w:t>
      </w:r>
    </w:p>
    <w:p>
      <w:pPr>
        <w:spacing w:after="0" w:line="54" w:lineRule="exact"/>
        <w:rPr>
          <w:rFonts w:ascii="Times New Roman" w:cs="Times New Roman" w:eastAsia="Times New Roman" w:hAnsi="Times New Roman"/>
          <w:sz w:val="18"/>
          <w:szCs w:val="18"/>
          <w:color w:val="auto"/>
        </w:rPr>
      </w:pPr>
    </w:p>
    <w:p>
      <w:pPr>
        <w:ind w:left="580" w:right="20" w:hanging="168"/>
        <w:spacing w:after="0" w:line="281" w:lineRule="auto"/>
        <w:tabs>
          <w:tab w:leader="none" w:pos="5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which consists of Hilary Schneider, Michael Harris, and Craig Peters, whose terms will expire at the Company’s annual meeting of stockholders to be held in 2028.</w:t>
      </w:r>
    </w:p>
    <w:p>
      <w:pPr>
        <w:spacing w:after="0" w:line="82" w:lineRule="exact"/>
        <w:rPr>
          <w:sz w:val="20"/>
          <w:szCs w:val="20"/>
          <w:color w:val="auto"/>
        </w:rPr>
      </w:pPr>
    </w:p>
    <w:p>
      <w:pPr>
        <w:jc w:val="both"/>
        <w:ind w:firstLine="405"/>
        <w:spacing w:after="0" w:line="265" w:lineRule="auto"/>
        <w:rPr>
          <w:sz w:val="20"/>
          <w:szCs w:val="20"/>
          <w:color w:val="auto"/>
        </w:rPr>
      </w:pPr>
      <w:r>
        <w:rPr>
          <w:rFonts w:ascii="Times New Roman" w:cs="Times New Roman" w:eastAsia="Times New Roman" w:hAnsi="Times New Roman"/>
          <w:sz w:val="18"/>
          <w:szCs w:val="18"/>
          <w:color w:val="auto"/>
        </w:rPr>
        <w:t>At each annual meeting of stockholders, the successors to directors whose terms then expire will be elected to serve from the time of election and qualification until the third annual meeting following their election and until their successors are duly elected and qualified. This classification of our Board of Directors may have the effect of delaying or preventing changes in our control or management.</w:t>
      </w:r>
    </w:p>
    <w:p>
      <w:pPr>
        <w:spacing w:after="0" w:line="11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Further, CC Neuberger Principal Holdings II Sponsor LLC (the “Sponsor”), the equityholders of the Sponsor, certain equityholders of Griffey Global Holdings, Inc. and certain other parties thereto entered into the Stockholders Agreement dated December 9, 2021 (the "Original Stockholders Agreement") with Getty Images (then Vector Holding, LLC), pursuant to which, among other things, our Board of Directors consists of (i) three directors nominated by Getty Investments LLC (“Getty Investments”), (ii) two directors nominated by Koch Icon Investments, LLC (“Koch Icon”), (iii) one director nominated by</w:t>
      </w:r>
    </w:p>
    <w:p>
      <w:pPr>
        <w:spacing w:after="0" w:line="2" w:lineRule="exact"/>
        <w:rPr>
          <w:sz w:val="20"/>
          <w:szCs w:val="20"/>
          <w:color w:val="auto"/>
        </w:rPr>
      </w:pPr>
    </w:p>
    <w:p>
      <w:pPr>
        <w:jc w:val="both"/>
        <w:ind w:firstLine="8"/>
        <w:spacing w:after="0" w:line="252" w:lineRule="auto"/>
        <w:tabs>
          <w:tab w:leader="none" w:pos="29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Partners, LLC (“CC Capital”), (iv) the chief executive officer of Getty Images and (v) a number of independent directors sufficient to comply with the requisite independence requirements of the NYSE and the rules and regulations of the SEC. The number of nominees that each of Getty Investments, Koch Icon and CC Capital will continue to be entitled to nominate pursuant to the Original Stockholders Agreement is subject to reduction based on the aggregate number of shares of Class A common stock held by such stockholders (together with their successors and any permitted transferees), as follows:</w:t>
      </w:r>
    </w:p>
    <w:p>
      <w:pPr>
        <w:spacing w:after="0" w:line="81" w:lineRule="exact"/>
        <w:rPr>
          <w:rFonts w:ascii="Times New Roman" w:cs="Times New Roman" w:eastAsia="Times New Roman" w:hAnsi="Times New Roman"/>
          <w:sz w:val="18"/>
          <w:szCs w:val="18"/>
          <w:color w:val="auto"/>
        </w:rPr>
      </w:pPr>
    </w:p>
    <w:p>
      <w:pPr>
        <w:jc w:val="both"/>
        <w:ind w:left="580" w:hanging="168"/>
        <w:spacing w:after="0" w:line="260" w:lineRule="auto"/>
        <w:tabs>
          <w:tab w:leader="none" w:pos="5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(i) the Getty Family Stockholders beneficially own, in the aggregate, at least 52,000,000 shares of Class A common stock, as adjusted for stock splits, stock combinations, and the like (the “Three Director Appointment Threshold”), Getty Investments shall be entitled to nominate three individuals to our Board of Directors, (ii) if the Getty Family Stockholders do not meet the Three Director Appointment Threshold, but the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0" w:name="page11"/>
    <w:bookmarkEnd w:id="10"/>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Getty Family Stockholders beneficially own, in the aggregate, at least 26,000,000 shares of Class A common stock, as adjusted for stock splits, stock combinations, and the like (the “Two Director Appointment Threshold”), Getty Investments shall be entitled to nominate two individuals to the our Board of Directors, and (iii) the Getty Family Stockholders beneficially own, in the aggregate, fewer than 26,000,000 shares of Class A common stock, as adjusted for stock splits, stock combinations, and the like, but greater than or equal to 5% of the total number of outstanding shares of Class A common stock (but less than a number of shares of Class A common stock that would meet the Two Director Appointment Threshold), Getty Investments shall be entitled to nominate one individual to our Board of Directors. In the event that the Getty Family Stockholders beneficially own, in the aggregate, less than 5% of the total number of outstanding shares of Class A common stock, Getty Investments will not be entitled to nominate any individual to our Board of Directors pursuant to the Original Stockholders Agreement.</w:t>
      </w:r>
    </w:p>
    <w:p>
      <w:pPr>
        <w:spacing w:after="0" w:line="81" w:lineRule="exact"/>
        <w:rPr>
          <w:sz w:val="20"/>
          <w:szCs w:val="20"/>
          <w:color w:val="auto"/>
        </w:rPr>
      </w:pPr>
    </w:p>
    <w:p>
      <w:pPr>
        <w:jc w:val="both"/>
        <w:ind w:left="580" w:hanging="168"/>
        <w:spacing w:after="0" w:line="255" w:lineRule="auto"/>
        <w:tabs>
          <w:tab w:leader="none" w:pos="5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(i) Koch Icon beneficially owns, in the aggregate, at least 26,000,000 shares of Class A common stock, as adjusted for stock splits, stock combinations, and the like, Koch Icon shall be entitled to nominate two individuals to our Board of Directors and (ii) Koch Icon beneficially owns, in the aggregate, fewer than 26,000,000 shares of Class A common stock, as adjusted for stock splits, stock combinations, and the like, but greater than or equal to 5% of the total number of outstanding shares of Class A common stock, Koch Icon shall be entitled to nominate one individual to our Board of Directors. In the event that Koch Icon beneficially owns, in the aggregate, less than 5% of the total number of outstanding shares of Class A common stock, Koch Icon shall not be entitled to nominate any individual to our Board of Directors pursuant to the Original Stockholders Agreement.</w:t>
      </w:r>
    </w:p>
    <w:p>
      <w:pPr>
        <w:spacing w:after="0" w:line="78" w:lineRule="exact"/>
        <w:rPr>
          <w:rFonts w:ascii="Times New Roman" w:cs="Times New Roman" w:eastAsia="Times New Roman" w:hAnsi="Times New Roman"/>
          <w:sz w:val="18"/>
          <w:szCs w:val="18"/>
          <w:color w:val="auto"/>
        </w:rPr>
      </w:pPr>
    </w:p>
    <w:p>
      <w:pPr>
        <w:jc w:val="both"/>
        <w:ind w:left="580" w:hanging="168"/>
        <w:spacing w:after="0" w:line="260" w:lineRule="auto"/>
        <w:tabs>
          <w:tab w:leader="none" w:pos="5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Sponsor beneficially owns, in the aggregate, at least 5,116,000 shares of Class A common stock, as adjusted for stock splits, stock combinations, and the like, CC Capital shall be entitled to nominate one individual to our Board of Directors. In the event that the Sponsor beneficially owns, in the aggregate, fewer than 5,116,000 shares of Class A common stock, as adjusted for stock splits, stock combinations, and the like, CC Capital shall not be entitled to nominate any individual to our Board of Directors pursuant to the Original Stockholders Agreement.</w:t>
      </w:r>
    </w:p>
    <w:p>
      <w:pPr>
        <w:spacing w:after="0" w:line="11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Please see the Original Stockholders Agreement, which is attached as Exhibit 10.3 to the Original Form 10-K, and “</w:t>
      </w:r>
      <w:r>
        <w:rPr>
          <w:rFonts w:ascii="Times New Roman" w:cs="Times New Roman" w:eastAsia="Times New Roman" w:hAnsi="Times New Roman"/>
          <w:sz w:val="18"/>
          <w:szCs w:val="18"/>
          <w:i w:val="1"/>
          <w:iCs w:val="1"/>
          <w:color w:val="auto"/>
        </w:rPr>
        <w:t>Item 13. Certain Relationships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Related Transactions, and Director Independence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Original Stockholders Agreement</w:t>
      </w:r>
      <w:r>
        <w:rPr>
          <w:rFonts w:ascii="Times New Roman" w:cs="Times New Roman" w:eastAsia="Times New Roman" w:hAnsi="Times New Roman"/>
          <w:sz w:val="18"/>
          <w:szCs w:val="18"/>
          <w:color w:val="auto"/>
        </w:rPr>
        <w:t>” for more information. See also “</w:t>
      </w:r>
      <w:r>
        <w:rPr>
          <w:rFonts w:ascii="Times New Roman" w:cs="Times New Roman" w:eastAsia="Times New Roman" w:hAnsi="Times New Roman"/>
          <w:sz w:val="18"/>
          <w:szCs w:val="18"/>
          <w:i w:val="1"/>
          <w:iCs w:val="1"/>
          <w:color w:val="auto"/>
        </w:rPr>
        <w:t>Item 13. Certain Relationships and Related Transactions, and Director Independence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Significant Stockholder Agreement</w:t>
      </w:r>
      <w:r>
        <w:rPr>
          <w:rFonts w:ascii="Times New Roman" w:cs="Times New Roman" w:eastAsia="Times New Roman" w:hAnsi="Times New Roman"/>
          <w:sz w:val="18"/>
          <w:szCs w:val="18"/>
          <w:color w:val="auto"/>
        </w:rPr>
        <w:t>” for information on certain corporate governance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in connection with the Shutterstock Merger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Independence</w:t>
      </w:r>
    </w:p>
    <w:p>
      <w:pPr>
        <w:spacing w:after="0" w:line="146"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8"/>
          <w:szCs w:val="18"/>
          <w:color w:val="auto"/>
        </w:rPr>
        <w:t>As required by the rules of the NYSE, a majority of our Board of Directors is independent. An “independent director” is generally defined under applicable NYSE rules as one who the Board of Directors affirmatively determines has no material relationship with the company, either directly or as an officer, partner or stockholder of a company that has a relationship with the company. Audit committee members must also satisfy the independence criteria set forth in Rule 10A-3 under the Exchange Act, and the listing standards of NYSE.</w:t>
      </w:r>
    </w:p>
    <w:p>
      <w:pPr>
        <w:spacing w:after="0" w:line="195" w:lineRule="exact"/>
        <w:rPr>
          <w:sz w:val="20"/>
          <w:szCs w:val="20"/>
          <w:color w:val="auto"/>
        </w:rPr>
      </w:pPr>
    </w:p>
    <w:p>
      <w:pPr>
        <w:jc w:val="both"/>
        <w:ind w:firstLine="405"/>
        <w:spacing w:after="0"/>
        <w:rPr>
          <w:sz w:val="20"/>
          <w:szCs w:val="20"/>
          <w:color w:val="auto"/>
        </w:rPr>
      </w:pPr>
      <w:r>
        <w:rPr>
          <w:rFonts w:ascii="Times New Roman" w:cs="Times New Roman" w:eastAsia="Times New Roman" w:hAnsi="Times New Roman"/>
          <w:sz w:val="18"/>
          <w:szCs w:val="18"/>
          <w:color w:val="auto"/>
        </w:rPr>
        <w:t>Our Board of Directors has determined that each of the directors, other than Craig Peters and Mark Getty, qualifies as an “independent director” under applicable SEC and NYSE rules for purposes of serving on our Board of Directors and each committee on which they serve, as applicable. Our Board of Directors also previously determined that James Quella, a former director who served on our board until April 1, 2026, was an “independent director” under applicable SEC and NYSE rules for purposes of serving on our Board of Directors and the committee on which he served. In making these determinations, our Board of Directors reviewed and discussed information provided by the directors with regard to each director’s business and personal activities and relationships as they may relate to us and our management.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Our Board of Director in Risk Oversight/Risk Committee</w:t>
      </w:r>
    </w:p>
    <w:p>
      <w:pPr>
        <w:spacing w:after="0" w:line="20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7"/>
          <w:szCs w:val="17"/>
          <w:color w:val="auto"/>
        </w:rPr>
        <w:t>Our Board of Directors is involved in the oversight of risk management related to us and our business. Our Board of Directors accomplishes this oversight both directly and through its Audit Committee, which assists the board in overseeing a part of our overall risk management and regularly reports to the board. The Audit Committee represents the board by periodically reviewing our accounting, reporting and financial practices, including the integrity of our financial statements, the oversight of administrative and financial controls, our compliance with legal and regulatory requirements, cybersecurity, our procedures for treatment of complaints regarding internal accounting controls or auditing matters, and our policies with respect to risk assessment and risk management. Through its regular meetings with management, including the finance, legal and internal audit functions, the Audit Committee reviews and discusses significant areas of our business and related risks and summarizes for the board areas of risk and any mitigating factors. In addition, our Board of</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Directors participates in regular briefings with management on a variety of topics, including cybersecurity and artificial intelligence, in which risk oversight is an inherent element.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Committees</w:t>
      </w:r>
    </w:p>
    <w:p>
      <w:pPr>
        <w:spacing w:after="0" w:line="227" w:lineRule="exact"/>
        <w:rPr>
          <w:sz w:val="20"/>
          <w:szCs w:val="20"/>
          <w:color w:val="auto"/>
        </w:rPr>
      </w:pPr>
    </w:p>
    <w:p>
      <w:pPr>
        <w:jc w:val="both"/>
        <w:ind w:firstLine="647"/>
        <w:spacing w:after="0" w:line="235" w:lineRule="auto"/>
        <w:rPr>
          <w:sz w:val="20"/>
          <w:szCs w:val="20"/>
          <w:color w:val="auto"/>
        </w:rPr>
      </w:pPr>
      <w:r>
        <w:rPr>
          <w:rFonts w:ascii="Times New Roman" w:cs="Times New Roman" w:eastAsia="Times New Roman" w:hAnsi="Times New Roman"/>
          <w:sz w:val="18"/>
          <w:szCs w:val="18"/>
          <w:color w:val="auto"/>
        </w:rPr>
        <w:t xml:space="preserve">Our Board of Directors has three standing committees—an audit committee, a compensation committee, and a nominating and corporate governance committee. Our Board of Directors has adopted a written charter for each of the committees, copies of which are available on our website at </w:t>
      </w:r>
      <w:r>
        <w:rPr>
          <w:rFonts w:ascii="Times New Roman" w:cs="Times New Roman" w:eastAsia="Times New Roman" w:hAnsi="Times New Roman"/>
          <w:sz w:val="18"/>
          <w:szCs w:val="18"/>
          <w:i w:val="1"/>
          <w:iCs w:val="1"/>
          <w:color w:val="auto"/>
        </w:rPr>
        <w:t>https://investors.gettyimages.com/corporate-governance/governance-documents</w:t>
      </w:r>
      <w:r>
        <w:rPr>
          <w:rFonts w:ascii="Times New Roman" w:cs="Times New Roman" w:eastAsia="Times New Roman" w:hAnsi="Times New Roman"/>
          <w:sz w:val="18"/>
          <w:szCs w:val="18"/>
          <w:color w:val="auto"/>
        </w:rPr>
        <w:t>. The information on any of our websites is deemed not to be incorporated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Annual Report.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jc w:val="both"/>
        <w:ind w:firstLine="405"/>
        <w:spacing w:after="0" w:line="232" w:lineRule="auto"/>
        <w:rPr>
          <w:sz w:val="20"/>
          <w:szCs w:val="20"/>
          <w:color w:val="auto"/>
        </w:rPr>
      </w:pPr>
      <w:r>
        <w:rPr>
          <w:rFonts w:ascii="Times New Roman" w:cs="Times New Roman" w:eastAsia="Times New Roman" w:hAnsi="Times New Roman"/>
          <w:sz w:val="18"/>
          <w:szCs w:val="18"/>
          <w:color w:val="auto"/>
        </w:rPr>
        <w:t>Our audit committee consists of Tracy Knox, Hilary Schneider and Jeff Titterton. Our Board of Directors has determined that each of the members of the audit committee satisfies the independence requirements of the NYSE corporate governance standards and Rule 10A-3 under the Exchange Act and is financially literate (as defined under the rules of the NYSE). In arriving at this determination, our Board of Directors has examined each audit committee member’s scope of experience, the nature of their prior and/or current employment and all other factors determined to be relevant under the rules and regulations of the NYSE and the SEC.</w:t>
      </w:r>
    </w:p>
    <w:p>
      <w:pPr>
        <w:spacing w:after="0" w:line="105" w:lineRule="exact"/>
        <w:rPr>
          <w:sz w:val="20"/>
          <w:szCs w:val="20"/>
          <w:color w:val="auto"/>
        </w:rPr>
      </w:pPr>
    </w:p>
    <w:p>
      <w:pPr>
        <w:jc w:val="both"/>
        <w:ind w:firstLine="405"/>
        <w:spacing w:after="0" w:line="235" w:lineRule="auto"/>
        <w:rPr>
          <w:sz w:val="20"/>
          <w:szCs w:val="20"/>
          <w:color w:val="auto"/>
        </w:rPr>
      </w:pPr>
      <w:r>
        <w:rPr>
          <w:rFonts w:ascii="Times New Roman" w:cs="Times New Roman" w:eastAsia="Times New Roman" w:hAnsi="Times New Roman"/>
          <w:sz w:val="18"/>
          <w:szCs w:val="18"/>
          <w:color w:val="auto"/>
        </w:rPr>
        <w:t>Tracy Knox serves as the chair of our Audit Committee. Our Board of Directors has determined that Ms. Knox and Ms. Schneider each qualifies as an audit committee financial expert within the meaning of SEC regulations and meets the financial sophistication requirements of the NYSE rules. In making this determination, our Board of Directors has considered formal education and previous professional experience in financial roles. Both our independent registered public accounting firm and management periodically meet privately with the audit committee members.</w:t>
      </w:r>
    </w:p>
    <w:p>
      <w:pPr>
        <w:spacing w:after="0" w:line="120"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8"/>
          <w:szCs w:val="18"/>
          <w:color w:val="auto"/>
        </w:rPr>
        <w:t>Our Board of Directors has delegated the oversight of cybersecurity risks to the Audit Committee. The Audit Committee assists the Board in its oversight of the Company’s policies and practices employed to identify, assess and manage key risks facing Getty Images, including cybersecurity risks. Members of management, including the Company’s Chief Technology Officer, provide the Audit Committee with updates on cybersecurity and information technology matters. In turn, the Audit Committee and management also provide updates to the Board of Directors.</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functions of our Audit Committee include, among other things:</w:t>
      </w:r>
    </w:p>
    <w:p>
      <w:pPr>
        <w:spacing w:after="0" w:line="117" w:lineRule="exact"/>
        <w:rPr>
          <w:sz w:val="20"/>
          <w:szCs w:val="20"/>
          <w:color w:val="auto"/>
        </w:rPr>
      </w:pPr>
    </w:p>
    <w:p>
      <w:pPr>
        <w:ind w:left="580" w:hanging="168"/>
        <w:spacing w:after="0" w:line="281" w:lineRule="auto"/>
        <w:tabs>
          <w:tab w:leader="none" w:pos="5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independence and qualifications of our independent auditors and determining whether to retain our existing independent auditors or engage new independent auditors;</w:t>
      </w:r>
    </w:p>
    <w:p>
      <w:pPr>
        <w:spacing w:after="0" w:line="54" w:lineRule="exact"/>
        <w:rPr>
          <w:rFonts w:ascii="Times New Roman" w:cs="Times New Roman" w:eastAsia="Times New Roman" w:hAnsi="Times New Roman"/>
          <w:sz w:val="18"/>
          <w:szCs w:val="18"/>
          <w:color w:val="auto"/>
        </w:rPr>
      </w:pPr>
    </w:p>
    <w:p>
      <w:pPr>
        <w:ind w:left="560" w:hanging="148"/>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reporting processes and disclosure controls;</w:t>
      </w:r>
    </w:p>
    <w:p>
      <w:pPr>
        <w:spacing w:after="0" w:line="116" w:lineRule="exact"/>
        <w:rPr>
          <w:rFonts w:ascii="Times New Roman" w:cs="Times New Roman" w:eastAsia="Times New Roman" w:hAnsi="Times New Roman"/>
          <w:sz w:val="18"/>
          <w:szCs w:val="18"/>
          <w:color w:val="auto"/>
        </w:rPr>
      </w:pPr>
    </w:p>
    <w:p>
      <w:pPr>
        <w:ind w:left="560" w:hanging="148"/>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our independent auditors to perform audit services and any permissible non-audit services;</w:t>
      </w:r>
    </w:p>
    <w:p>
      <w:pPr>
        <w:spacing w:after="0" w:line="116" w:lineRule="exact"/>
        <w:rPr>
          <w:rFonts w:ascii="Times New Roman" w:cs="Times New Roman" w:eastAsia="Times New Roman" w:hAnsi="Times New Roman"/>
          <w:sz w:val="18"/>
          <w:szCs w:val="18"/>
          <w:color w:val="auto"/>
        </w:rPr>
      </w:pPr>
    </w:p>
    <w:p>
      <w:pPr>
        <w:ind w:left="580" w:hanging="168"/>
        <w:spacing w:after="0" w:line="281" w:lineRule="auto"/>
        <w:tabs>
          <w:tab w:leader="none" w:pos="5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quality and adequacy of our internal control policies and procedures, including the responsibilities, budget and staffing of our internal audit function;</w:t>
      </w:r>
    </w:p>
    <w:p>
      <w:pPr>
        <w:spacing w:after="0" w:line="54" w:lineRule="exact"/>
        <w:rPr>
          <w:rFonts w:ascii="Times New Roman" w:cs="Times New Roman" w:eastAsia="Times New Roman" w:hAnsi="Times New Roman"/>
          <w:sz w:val="18"/>
          <w:szCs w:val="18"/>
          <w:color w:val="auto"/>
        </w:rPr>
      </w:pPr>
    </w:p>
    <w:p>
      <w:pPr>
        <w:ind w:left="560" w:hanging="148"/>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and internal audit department, if applicable, the annual audit plan;</w:t>
      </w:r>
    </w:p>
    <w:p>
      <w:pPr>
        <w:spacing w:after="0" w:line="116" w:lineRule="exact"/>
        <w:rPr>
          <w:rFonts w:ascii="Times New Roman" w:cs="Times New Roman" w:eastAsia="Times New Roman" w:hAnsi="Times New Roman"/>
          <w:sz w:val="18"/>
          <w:szCs w:val="18"/>
          <w:color w:val="auto"/>
        </w:rPr>
      </w:pPr>
    </w:p>
    <w:p>
      <w:pPr>
        <w:jc w:val="both"/>
        <w:ind w:left="580" w:hanging="168"/>
        <w:spacing w:after="0" w:line="265" w:lineRule="auto"/>
        <w:tabs>
          <w:tab w:leader="none" w:pos="5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a report by the Company’s independent auditors describing the independent auditors’ internal quality control procedures, issues raised by the most recent internal quality-control review and all relationships between the independent auditor and the Company, if any;</w:t>
      </w:r>
    </w:p>
    <w:p>
      <w:pPr>
        <w:spacing w:after="0" w:line="69" w:lineRule="exact"/>
        <w:rPr>
          <w:rFonts w:ascii="Times New Roman" w:cs="Times New Roman" w:eastAsia="Times New Roman" w:hAnsi="Times New Roman"/>
          <w:sz w:val="18"/>
          <w:szCs w:val="18"/>
          <w:color w:val="auto"/>
        </w:rPr>
      </w:pPr>
    </w:p>
    <w:p>
      <w:pPr>
        <w:ind w:left="560" w:hanging="148"/>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the lead partner of our independent auditor on our engagement team as required by law;</w:t>
      </w:r>
    </w:p>
    <w:p>
      <w:pPr>
        <w:spacing w:after="0" w:line="116" w:lineRule="exact"/>
        <w:rPr>
          <w:rFonts w:ascii="Times New Roman" w:cs="Times New Roman" w:eastAsia="Times New Roman" w:hAnsi="Times New Roman"/>
          <w:sz w:val="18"/>
          <w:szCs w:val="18"/>
          <w:color w:val="auto"/>
        </w:rPr>
      </w:pPr>
    </w:p>
    <w:p>
      <w:pPr>
        <w:ind w:left="580" w:hanging="168"/>
        <w:spacing w:after="0" w:line="281" w:lineRule="auto"/>
        <w:tabs>
          <w:tab w:leader="none" w:pos="5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engagement of any independent auditor, and at least annually thereafter, reviewing relationships that may reasonably be thought to bear on their independence, and assessing and otherwise taking the appropriate action to oversee the independence of our independent auditor;</w:t>
      </w:r>
    </w:p>
    <w:p>
      <w:pPr>
        <w:spacing w:after="0" w:line="52" w:lineRule="exact"/>
        <w:rPr>
          <w:rFonts w:ascii="Times New Roman" w:cs="Times New Roman" w:eastAsia="Times New Roman" w:hAnsi="Times New Roman"/>
          <w:sz w:val="18"/>
          <w:szCs w:val="18"/>
          <w:color w:val="auto"/>
        </w:rPr>
      </w:pPr>
    </w:p>
    <w:p>
      <w:pPr>
        <w:jc w:val="both"/>
        <w:ind w:left="580" w:hanging="168"/>
        <w:spacing w:after="0" w:line="267" w:lineRule="auto"/>
        <w:tabs>
          <w:tab w:leader="none" w:pos="5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reviewing our annual and quarterly financial statements and reports, including the disclosures contained in </w:t>
      </w:r>
      <w:r>
        <w:rPr>
          <w:rFonts w:ascii="Times New Roman" w:cs="Times New Roman" w:eastAsia="Times New Roman" w:hAnsi="Times New Roman"/>
          <w:sz w:val="18"/>
          <w:szCs w:val="18"/>
          <w:i w:val="1"/>
          <w:iCs w:val="1"/>
          <w:color w:val="auto"/>
        </w:rPr>
        <w:t>Management’s Discussion and Analysis</w:t>
      </w:r>
      <w:r>
        <w:rPr>
          <w:rFonts w:ascii="Times New Roman" w:cs="Times New Roman" w:eastAsia="Times New Roman" w:hAnsi="Times New Roman"/>
          <w:sz w:val="18"/>
          <w:szCs w:val="18"/>
          <w:color w:val="auto"/>
        </w:rPr>
        <w:t xml:space="preserve"> of the Company’s Annual Reports on Form 10-K and Quarterly Reports on Form 10-Q and discussing the statements and reports with our independent auditors and management;</w:t>
      </w:r>
    </w:p>
    <w:p>
      <w:pPr>
        <w:spacing w:after="0" w:line="66" w:lineRule="exact"/>
        <w:rPr>
          <w:rFonts w:ascii="Times New Roman" w:cs="Times New Roman" w:eastAsia="Times New Roman" w:hAnsi="Times New Roman"/>
          <w:sz w:val="18"/>
          <w:szCs w:val="18"/>
          <w:color w:val="auto"/>
        </w:rPr>
      </w:pPr>
    </w:p>
    <w:p>
      <w:pPr>
        <w:ind w:left="560" w:hanging="148"/>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auditors and management significant issues in internal audit reports and responses by management;</w:t>
      </w:r>
    </w:p>
    <w:p>
      <w:pPr>
        <w:spacing w:after="0" w:line="116" w:lineRule="exact"/>
        <w:rPr>
          <w:rFonts w:ascii="Times New Roman" w:cs="Times New Roman" w:eastAsia="Times New Roman" w:hAnsi="Times New Roman"/>
          <w:sz w:val="18"/>
          <w:szCs w:val="18"/>
          <w:color w:val="auto"/>
        </w:rPr>
      </w:pPr>
    </w:p>
    <w:p>
      <w:pPr>
        <w:ind w:left="560" w:hanging="148"/>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auditors any earnings press releases and other public announcements related to financials;</w:t>
      </w:r>
    </w:p>
    <w:p>
      <w:pPr>
        <w:spacing w:after="0" w:line="116" w:lineRule="exact"/>
        <w:rPr>
          <w:rFonts w:ascii="Times New Roman" w:cs="Times New Roman" w:eastAsia="Times New Roman" w:hAnsi="Times New Roman"/>
          <w:sz w:val="18"/>
          <w:szCs w:val="18"/>
          <w:color w:val="auto"/>
        </w:rPr>
      </w:pPr>
    </w:p>
    <w:p>
      <w:pPr>
        <w:ind w:left="580" w:hanging="168"/>
        <w:spacing w:after="0" w:line="281" w:lineRule="auto"/>
        <w:tabs>
          <w:tab w:leader="none" w:pos="5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the receipt, retention and treatment of complaints received by the Company regarding accounting, internal accounting controls or auditing matters;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2" w:name="page13"/>
    <w:bookmarkEnd w:id="12"/>
    <w:p>
      <w:pPr>
        <w:ind w:left="560" w:hanging="148"/>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our annual proxy statement;</w:t>
      </w:r>
    </w:p>
    <w:p>
      <w:pPr>
        <w:spacing w:after="0" w:line="116" w:lineRule="exact"/>
        <w:rPr>
          <w:rFonts w:ascii="Times New Roman" w:cs="Times New Roman" w:eastAsia="Times New Roman" w:hAnsi="Times New Roman"/>
          <w:sz w:val="18"/>
          <w:szCs w:val="18"/>
          <w:color w:val="auto"/>
        </w:rPr>
      </w:pPr>
    </w:p>
    <w:p>
      <w:pPr>
        <w:ind w:left="580" w:hanging="168"/>
        <w:spacing w:after="0" w:line="281" w:lineRule="auto"/>
        <w:tabs>
          <w:tab w:leader="none" w:pos="5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of any related party transactions in accordance with our related party transaction policy and reviewing and monitoring compliance with legal, regulatory and ethical responsibilities;</w:t>
      </w:r>
    </w:p>
    <w:p>
      <w:pPr>
        <w:spacing w:after="0" w:line="54" w:lineRule="exact"/>
        <w:rPr>
          <w:rFonts w:ascii="Times New Roman" w:cs="Times New Roman" w:eastAsia="Times New Roman" w:hAnsi="Times New Roman"/>
          <w:sz w:val="18"/>
          <w:szCs w:val="18"/>
          <w:color w:val="auto"/>
        </w:rPr>
      </w:pPr>
    </w:p>
    <w:p>
      <w:pPr>
        <w:ind w:left="560" w:hanging="148"/>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major financial risk exposures; and</w:t>
      </w:r>
    </w:p>
    <w:p>
      <w:pPr>
        <w:spacing w:after="0" w:line="116" w:lineRule="exact"/>
        <w:rPr>
          <w:rFonts w:ascii="Times New Roman" w:cs="Times New Roman" w:eastAsia="Times New Roman" w:hAnsi="Times New Roman"/>
          <w:sz w:val="18"/>
          <w:szCs w:val="18"/>
          <w:color w:val="auto"/>
        </w:rPr>
      </w:pPr>
    </w:p>
    <w:p>
      <w:pPr>
        <w:ind w:left="560" w:hanging="148"/>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117" w:lineRule="exact"/>
        <w:rPr>
          <w:sz w:val="20"/>
          <w:szCs w:val="20"/>
          <w:color w:val="auto"/>
        </w:rPr>
      </w:pPr>
    </w:p>
    <w:p>
      <w:pPr>
        <w:jc w:val="both"/>
        <w:ind w:right="20" w:firstLine="647"/>
        <w:spacing w:after="0" w:line="281" w:lineRule="auto"/>
        <w:rPr>
          <w:sz w:val="20"/>
          <w:szCs w:val="20"/>
          <w:color w:val="auto"/>
        </w:rPr>
      </w:pPr>
      <w:r>
        <w:rPr>
          <w:rFonts w:ascii="Times New Roman" w:cs="Times New Roman" w:eastAsia="Times New Roman" w:hAnsi="Times New Roman"/>
          <w:sz w:val="18"/>
          <w:szCs w:val="18"/>
          <w:color w:val="auto"/>
        </w:rPr>
        <w:t>The composition and function of the audit committee complies with all applicable requirements of the Sarbanes-Oxley Act and all applicable SEC rules and regulations. We will comply with future requirements to the extent they become applicable to the Company.</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59" w:lineRule="exact"/>
        <w:rPr>
          <w:sz w:val="20"/>
          <w:szCs w:val="20"/>
          <w:color w:val="auto"/>
        </w:rPr>
      </w:pPr>
    </w:p>
    <w:p>
      <w:pPr>
        <w:jc w:val="both"/>
        <w:ind w:firstLine="405"/>
        <w:spacing w:after="0" w:line="265" w:lineRule="auto"/>
        <w:rPr>
          <w:sz w:val="20"/>
          <w:szCs w:val="20"/>
          <w:color w:val="auto"/>
        </w:rPr>
      </w:pPr>
      <w:r>
        <w:rPr>
          <w:rFonts w:ascii="Times New Roman" w:cs="Times New Roman" w:eastAsia="Times New Roman" w:hAnsi="Times New Roman"/>
          <w:sz w:val="18"/>
          <w:szCs w:val="18"/>
          <w:color w:val="auto"/>
        </w:rPr>
        <w:t>Our Compensation Committee consists of Brett Watson, Chinh Chu and Hilary Schneider. Our Board of Directors has determined that each of the members of our Compensation Committee is a non-employee director, as defined in Rule 16b-3 promulgated under the Exchange Act, and satisfies the independence requirements of the NYSE. Mr. Watson serves as the chair of our Compensation Committee.</w:t>
      </w:r>
    </w:p>
    <w:p>
      <w:pPr>
        <w:spacing w:after="0" w:line="96"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8"/>
          <w:szCs w:val="18"/>
          <w:color w:val="auto"/>
        </w:rPr>
        <w:t>The Compensation Committee has engaged Compensia, Inc. as our independent consultant. In 2025, Compensia, Inc. reviewed both executive and director compensation and did not provide us any other services. Compensia, Inc. reported directly to the Compensation Committee and provided guidance on trends in executive and non-employee director compensation, the development of specific executive compensation programs, the composition of our compensation peer group and other matters as directed by the Compensation Committee.</w:t>
      </w:r>
    </w:p>
    <w:p>
      <w:pPr>
        <w:spacing w:after="0" w:line="101"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Our Compensation Committee is responsible for assisting our Board of Directors in the discharge of its responsibilities relating to the compensation of our executive officers. In fulfilling its purpose, our Compensation Committee has the following principal duties:</w:t>
      </w:r>
    </w:p>
    <w:p>
      <w:pPr>
        <w:spacing w:after="0" w:line="81" w:lineRule="exact"/>
        <w:rPr>
          <w:sz w:val="20"/>
          <w:szCs w:val="20"/>
          <w:color w:val="auto"/>
        </w:rPr>
      </w:pPr>
    </w:p>
    <w:p>
      <w:pPr>
        <w:ind w:left="560" w:hanging="148"/>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that pertain to the determination of executive compensation;</w:t>
      </w:r>
    </w:p>
    <w:p>
      <w:pPr>
        <w:spacing w:after="0" w:line="116" w:lineRule="exact"/>
        <w:rPr>
          <w:rFonts w:ascii="Times New Roman" w:cs="Times New Roman" w:eastAsia="Times New Roman" w:hAnsi="Times New Roman"/>
          <w:sz w:val="18"/>
          <w:szCs w:val="18"/>
          <w:color w:val="auto"/>
        </w:rPr>
      </w:pPr>
    </w:p>
    <w:p>
      <w:pPr>
        <w:ind w:left="560" w:hanging="148"/>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our executive officers;</w:t>
      </w:r>
    </w:p>
    <w:p>
      <w:pPr>
        <w:spacing w:after="0" w:line="116" w:lineRule="exact"/>
        <w:rPr>
          <w:rFonts w:ascii="Times New Roman" w:cs="Times New Roman" w:eastAsia="Times New Roman" w:hAnsi="Times New Roman"/>
          <w:sz w:val="18"/>
          <w:szCs w:val="18"/>
          <w:color w:val="auto"/>
        </w:rPr>
      </w:pPr>
    </w:p>
    <w:p>
      <w:pPr>
        <w:ind w:left="580" w:hanging="168"/>
        <w:spacing w:after="0" w:line="281" w:lineRule="auto"/>
        <w:tabs>
          <w:tab w:leader="none" w:pos="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regarding the adoption or amendment of equity and cash incentive plans and approving amendments to such plans to the extent authorized by the board;</w:t>
      </w:r>
    </w:p>
    <w:p>
      <w:pPr>
        <w:spacing w:after="0" w:line="54" w:lineRule="exact"/>
        <w:rPr>
          <w:rFonts w:ascii="Times New Roman" w:cs="Times New Roman" w:eastAsia="Times New Roman" w:hAnsi="Times New Roman"/>
          <w:sz w:val="18"/>
          <w:szCs w:val="18"/>
          <w:color w:val="auto"/>
        </w:rPr>
      </w:pPr>
    </w:p>
    <w:p>
      <w:pPr>
        <w:ind w:left="580" w:hanging="168"/>
        <w:spacing w:after="0" w:line="281" w:lineRule="auto"/>
        <w:tabs>
          <w:tab w:leader="none" w:pos="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regarding the type and amount of compensation to be paid or awarded to our non-employee board members;</w:t>
      </w:r>
    </w:p>
    <w:p>
      <w:pPr>
        <w:spacing w:after="0" w:line="54" w:lineRule="exact"/>
        <w:rPr>
          <w:rFonts w:ascii="Times New Roman" w:cs="Times New Roman" w:eastAsia="Times New Roman" w:hAnsi="Times New Roman"/>
          <w:sz w:val="18"/>
          <w:szCs w:val="18"/>
          <w:color w:val="auto"/>
        </w:rPr>
      </w:pPr>
    </w:p>
    <w:p>
      <w:pPr>
        <w:ind w:left="560" w:hanging="148"/>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stock ownership guidelines for executive officers and non-employee board members;</w:t>
      </w:r>
    </w:p>
    <w:p>
      <w:pPr>
        <w:spacing w:after="0" w:line="116" w:lineRule="exact"/>
        <w:rPr>
          <w:rFonts w:ascii="Times New Roman" w:cs="Times New Roman" w:eastAsia="Times New Roman" w:hAnsi="Times New Roman"/>
          <w:sz w:val="18"/>
          <w:szCs w:val="18"/>
          <w:color w:val="auto"/>
        </w:rPr>
      </w:pPr>
    </w:p>
    <w:p>
      <w:pPr>
        <w:ind w:left="560" w:hanging="148"/>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independent legal counsel and other advisors;</w:t>
      </w:r>
    </w:p>
    <w:p>
      <w:pPr>
        <w:spacing w:after="0" w:line="116" w:lineRule="exact"/>
        <w:rPr>
          <w:rFonts w:ascii="Times New Roman" w:cs="Times New Roman" w:eastAsia="Times New Roman" w:hAnsi="Times New Roman"/>
          <w:sz w:val="18"/>
          <w:szCs w:val="18"/>
          <w:color w:val="auto"/>
        </w:rPr>
      </w:pPr>
    </w:p>
    <w:p>
      <w:pPr>
        <w:ind w:left="560" w:hanging="148"/>
        <w:spacing w:after="0"/>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w:t>
      </w:r>
    </w:p>
    <w:p>
      <w:pPr>
        <w:spacing w:after="0" w:line="116" w:lineRule="exact"/>
        <w:rPr>
          <w:rFonts w:ascii="Times New Roman" w:cs="Times New Roman" w:eastAsia="Times New Roman" w:hAnsi="Times New Roman"/>
          <w:sz w:val="18"/>
          <w:szCs w:val="18"/>
          <w:color w:val="auto"/>
        </w:rPr>
      </w:pPr>
    </w:p>
    <w:p>
      <w:pPr>
        <w:ind w:left="580" w:hanging="168"/>
        <w:spacing w:after="0" w:line="281" w:lineRule="auto"/>
        <w:tabs>
          <w:tab w:leader="none" w:pos="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transition or consulting agreements, retirement agreements and change-in-control agreements or provisions and any other material arrangements for our executive officers;</w:t>
      </w:r>
    </w:p>
    <w:p>
      <w:pPr>
        <w:spacing w:after="0" w:line="54" w:lineRule="exact"/>
        <w:rPr>
          <w:rFonts w:ascii="Times New Roman" w:cs="Times New Roman" w:eastAsia="Times New Roman" w:hAnsi="Times New Roman"/>
          <w:sz w:val="18"/>
          <w:szCs w:val="18"/>
          <w:color w:val="auto"/>
        </w:rPr>
      </w:pPr>
    </w:p>
    <w:p>
      <w:pPr>
        <w:ind w:left="580" w:hanging="168"/>
        <w:spacing w:after="0" w:line="281" w:lineRule="auto"/>
        <w:tabs>
          <w:tab w:leader="none" w:pos="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recommending for approval the creation or revision of any clawback policy allowing the Company to recoup compensation paid to officers, directors and employees;</w:t>
      </w:r>
    </w:p>
    <w:p>
      <w:pPr>
        <w:spacing w:after="0" w:line="54" w:lineRule="exact"/>
        <w:rPr>
          <w:rFonts w:ascii="Times New Roman" w:cs="Times New Roman" w:eastAsia="Times New Roman" w:hAnsi="Times New Roman"/>
          <w:sz w:val="18"/>
          <w:szCs w:val="18"/>
          <w:color w:val="auto"/>
        </w:rPr>
      </w:pPr>
    </w:p>
    <w:p>
      <w:pPr>
        <w:ind w:left="580" w:right="20" w:hanging="168"/>
        <w:spacing w:after="0" w:line="281" w:lineRule="auto"/>
        <w:tabs>
          <w:tab w:leader="none" w:pos="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our disclosures under the caption “Compensation Discussion and Analysis” in our periodic reports or proxy statements to be filed with the SEC, to the extent such caption is included in any such report or proxy statement;</w:t>
      </w:r>
    </w:p>
    <w:p>
      <w:pPr>
        <w:spacing w:after="0" w:line="54" w:lineRule="exact"/>
        <w:rPr>
          <w:rFonts w:ascii="Times New Roman" w:cs="Times New Roman" w:eastAsia="Times New Roman" w:hAnsi="Times New Roman"/>
          <w:sz w:val="18"/>
          <w:szCs w:val="18"/>
          <w:color w:val="auto"/>
        </w:rPr>
      </w:pPr>
    </w:p>
    <w:p>
      <w:pPr>
        <w:ind w:left="580" w:hanging="168"/>
        <w:spacing w:after="0" w:line="281" w:lineRule="auto"/>
        <w:tabs>
          <w:tab w:leader="none" w:pos="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to be included in our annual proxy statement, to the extent any such report is required to be included in our annual proxy statement; and</w:t>
      </w:r>
    </w:p>
    <w:p>
      <w:pPr>
        <w:spacing w:after="0" w:line="54" w:lineRule="exact"/>
        <w:rPr>
          <w:rFonts w:ascii="Times New Roman" w:cs="Times New Roman" w:eastAsia="Times New Roman" w:hAnsi="Times New Roman"/>
          <w:sz w:val="18"/>
          <w:szCs w:val="18"/>
          <w:color w:val="auto"/>
        </w:rPr>
      </w:pPr>
    </w:p>
    <w:p>
      <w:pPr>
        <w:ind w:left="580" w:hanging="168"/>
        <w:spacing w:after="0" w:line="281" w:lineRule="auto"/>
        <w:tabs>
          <w:tab w:leader="none" w:pos="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our Compensation Committee and recommending such changes as deemed necessary to our Board of Directors.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13" w:name="page14"/>
    <w:bookmarkEnd w:id="13"/>
    <w:p>
      <w:pPr>
        <w:jc w:val="both"/>
        <w:ind w:firstLine="405"/>
        <w:spacing w:after="0" w:line="281" w:lineRule="auto"/>
        <w:rPr>
          <w:sz w:val="20"/>
          <w:szCs w:val="20"/>
          <w:color w:val="auto"/>
        </w:rPr>
      </w:pPr>
      <w:r>
        <w:rPr>
          <w:rFonts w:ascii="Times New Roman" w:cs="Times New Roman" w:eastAsia="Times New Roman" w:hAnsi="Times New Roman"/>
          <w:sz w:val="18"/>
          <w:szCs w:val="18"/>
          <w:color w:val="auto"/>
        </w:rPr>
        <w:t>The composition and function of the compensation committee complies with all applicable requirements of the Sarbanes-Oxley Act and all applicable SEC and NYSE rules and regulations. We will comply with future requirements to the extent they become applicable to the Company.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46" w:lineRule="exact"/>
        <w:rPr>
          <w:sz w:val="20"/>
          <w:szCs w:val="20"/>
          <w:color w:val="auto"/>
        </w:rPr>
      </w:pPr>
    </w:p>
    <w:p>
      <w:pPr>
        <w:jc w:val="both"/>
        <w:ind w:firstLine="405"/>
        <w:spacing w:after="0" w:line="265"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Michael Harris and Patrick Maxwell. Our Board of Directors has determined that each of the members of our Nominating and Corporate Governance Committee satisfies the independence requirements of the NYSE and the SEC. Mr. Harris serves as the chair of our Nominating and Corporate Governance Committee.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Committee’s responsibilities include:</w:t>
      </w:r>
    </w:p>
    <w:p>
      <w:pPr>
        <w:spacing w:after="0" w:line="117" w:lineRule="exact"/>
        <w:rPr>
          <w:sz w:val="20"/>
          <w:szCs w:val="20"/>
          <w:color w:val="auto"/>
        </w:rPr>
      </w:pPr>
    </w:p>
    <w:p>
      <w:pPr>
        <w:ind w:left="560" w:hanging="148"/>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our Board of Directors;</w:t>
      </w:r>
    </w:p>
    <w:p>
      <w:pPr>
        <w:spacing w:after="0" w:line="116" w:lineRule="exact"/>
        <w:rPr>
          <w:rFonts w:ascii="Times New Roman" w:cs="Times New Roman" w:eastAsia="Times New Roman" w:hAnsi="Times New Roman"/>
          <w:sz w:val="18"/>
          <w:szCs w:val="18"/>
          <w:color w:val="auto"/>
        </w:rPr>
      </w:pPr>
    </w:p>
    <w:p>
      <w:pPr>
        <w:ind w:left="580" w:hanging="168"/>
        <w:spacing w:after="0" w:line="281" w:lineRule="auto"/>
        <w:tabs>
          <w:tab w:leader="none" w:pos="5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committees of the board and individual directors and determining whether continued service on our Board of Directors is appropriate;</w:t>
      </w:r>
    </w:p>
    <w:p>
      <w:pPr>
        <w:spacing w:after="0" w:line="54" w:lineRule="exact"/>
        <w:rPr>
          <w:rFonts w:ascii="Times New Roman" w:cs="Times New Roman" w:eastAsia="Times New Roman" w:hAnsi="Times New Roman"/>
          <w:sz w:val="18"/>
          <w:szCs w:val="18"/>
          <w:color w:val="auto"/>
        </w:rPr>
      </w:pPr>
    </w:p>
    <w:p>
      <w:pPr>
        <w:ind w:left="560" w:hanging="148"/>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nominations by stockholders of candidates for election to our Board of Directors;</w:t>
      </w:r>
    </w:p>
    <w:p>
      <w:pPr>
        <w:spacing w:after="0" w:line="116" w:lineRule="exact"/>
        <w:rPr>
          <w:rFonts w:ascii="Times New Roman" w:cs="Times New Roman" w:eastAsia="Times New Roman" w:hAnsi="Times New Roman"/>
          <w:sz w:val="18"/>
          <w:szCs w:val="18"/>
          <w:color w:val="auto"/>
        </w:rPr>
      </w:pPr>
    </w:p>
    <w:p>
      <w:pPr>
        <w:ind w:left="580" w:hanging="168"/>
        <w:spacing w:after="0" w:line="281" w:lineRule="auto"/>
        <w:tabs>
          <w:tab w:leader="none" w:pos="5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current size, composition and governance of our Board of Directors and its committees and making recommendations to the board for approvals;</w:t>
      </w:r>
    </w:p>
    <w:p>
      <w:pPr>
        <w:spacing w:after="0" w:line="54" w:lineRule="exact"/>
        <w:rPr>
          <w:rFonts w:ascii="Times New Roman" w:cs="Times New Roman" w:eastAsia="Times New Roman" w:hAnsi="Times New Roman"/>
          <w:sz w:val="18"/>
          <w:szCs w:val="18"/>
          <w:color w:val="auto"/>
        </w:rPr>
      </w:pPr>
    </w:p>
    <w:p>
      <w:pPr>
        <w:ind w:left="580" w:hanging="168"/>
        <w:spacing w:after="0" w:line="281" w:lineRule="auto"/>
        <w:tabs>
          <w:tab w:leader="none" w:pos="5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leadership structure of our Board of Directors, including the separation of the Chair and Chief Executive Officer roles and/or appointment of a lead independent director of the board;</w:t>
      </w:r>
    </w:p>
    <w:p>
      <w:pPr>
        <w:spacing w:after="0" w:line="54" w:lineRule="exact"/>
        <w:rPr>
          <w:rFonts w:ascii="Times New Roman" w:cs="Times New Roman" w:eastAsia="Times New Roman" w:hAnsi="Times New Roman"/>
          <w:sz w:val="18"/>
          <w:szCs w:val="18"/>
          <w:color w:val="auto"/>
        </w:rPr>
      </w:pPr>
    </w:p>
    <w:p>
      <w:pPr>
        <w:ind w:left="560" w:hanging="148"/>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corporate governance policies and principles and recommending to our Board of Directors any changes to such policies and principles;</w:t>
      </w:r>
    </w:p>
    <w:p>
      <w:pPr>
        <w:spacing w:after="0" w:line="116" w:lineRule="exact"/>
        <w:rPr>
          <w:rFonts w:ascii="Times New Roman" w:cs="Times New Roman" w:eastAsia="Times New Roman" w:hAnsi="Times New Roman"/>
          <w:sz w:val="18"/>
          <w:szCs w:val="18"/>
          <w:color w:val="auto"/>
        </w:rPr>
      </w:pPr>
    </w:p>
    <w:p>
      <w:pPr>
        <w:ind w:left="560" w:hanging="148"/>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issues and developments related to corporate governance;</w:t>
      </w:r>
    </w:p>
    <w:p>
      <w:pPr>
        <w:spacing w:after="0" w:line="116" w:lineRule="exact"/>
        <w:rPr>
          <w:rFonts w:ascii="Times New Roman" w:cs="Times New Roman" w:eastAsia="Times New Roman" w:hAnsi="Times New Roman"/>
          <w:sz w:val="18"/>
          <w:szCs w:val="18"/>
          <w:color w:val="auto"/>
        </w:rPr>
      </w:pPr>
    </w:p>
    <w:p>
      <w:pPr>
        <w:ind w:left="560" w:hanging="148"/>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monitoring directors’ compliance with our Code of Business Conduct and Ethics;</w:t>
      </w:r>
    </w:p>
    <w:p>
      <w:pPr>
        <w:spacing w:after="0" w:line="116" w:lineRule="exact"/>
        <w:rPr>
          <w:rFonts w:ascii="Times New Roman" w:cs="Times New Roman" w:eastAsia="Times New Roman" w:hAnsi="Times New Roman"/>
          <w:sz w:val="18"/>
          <w:szCs w:val="18"/>
          <w:color w:val="auto"/>
        </w:rPr>
      </w:pPr>
    </w:p>
    <w:p>
      <w:pPr>
        <w:ind w:left="560" w:hanging="148"/>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Company in fulfilling its corporate responsibility strategy; and</w:t>
      </w:r>
    </w:p>
    <w:p>
      <w:pPr>
        <w:spacing w:after="0" w:line="116" w:lineRule="exact"/>
        <w:rPr>
          <w:rFonts w:ascii="Times New Roman" w:cs="Times New Roman" w:eastAsia="Times New Roman" w:hAnsi="Times New Roman"/>
          <w:sz w:val="18"/>
          <w:szCs w:val="18"/>
          <w:color w:val="auto"/>
        </w:rPr>
      </w:pPr>
    </w:p>
    <w:p>
      <w:pPr>
        <w:ind w:left="580" w:hanging="168"/>
        <w:spacing w:after="0" w:line="281" w:lineRule="auto"/>
        <w:tabs>
          <w:tab w:leader="none" w:pos="5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the Nominating and Corporate Governance Committee Charter, structure and membership requirements and recommending any proposed changes to our Board of Directors, including undertaking an annual review of its own performance.</w:t>
      </w:r>
    </w:p>
    <w:p>
      <w:pPr>
        <w:spacing w:after="0" w:line="95" w:lineRule="exact"/>
        <w:rPr>
          <w:sz w:val="20"/>
          <w:szCs w:val="20"/>
          <w:color w:val="auto"/>
        </w:rPr>
      </w:pPr>
    </w:p>
    <w:p>
      <w:pPr>
        <w:jc w:val="both"/>
        <w:ind w:firstLine="405"/>
        <w:spacing w:after="0" w:line="281" w:lineRule="auto"/>
        <w:rPr>
          <w:sz w:val="20"/>
          <w:szCs w:val="20"/>
          <w:color w:val="auto"/>
        </w:rPr>
      </w:pPr>
      <w:r>
        <w:rPr>
          <w:rFonts w:ascii="Times New Roman" w:cs="Times New Roman" w:eastAsia="Times New Roman" w:hAnsi="Times New Roman"/>
          <w:sz w:val="18"/>
          <w:szCs w:val="18"/>
          <w:color w:val="auto"/>
        </w:rPr>
        <w:t>The composition and function of the nominating and corporate governance committee complies with all applicable requirements of the Sarbanes-Oxley Act and all applicable SEC and NYSE rules and regulations. We will comply with future requirements to the extent they become applicable.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on Liability and Indemnification of Directors and Officers</w:t>
      </w:r>
    </w:p>
    <w:p>
      <w:pPr>
        <w:spacing w:after="0" w:line="159" w:lineRule="exact"/>
        <w:rPr>
          <w:sz w:val="20"/>
          <w:szCs w:val="20"/>
          <w:color w:val="auto"/>
        </w:rPr>
      </w:pPr>
    </w:p>
    <w:p>
      <w:pPr>
        <w:jc w:val="both"/>
        <w:ind w:firstLine="647"/>
        <w:spacing w:after="0" w:line="265" w:lineRule="auto"/>
        <w:rPr>
          <w:sz w:val="20"/>
          <w:szCs w:val="20"/>
          <w:color w:val="auto"/>
        </w:rPr>
      </w:pPr>
      <w:r>
        <w:rPr>
          <w:rFonts w:ascii="Times New Roman" w:cs="Times New Roman" w:eastAsia="Times New Roman" w:hAnsi="Times New Roman"/>
          <w:sz w:val="18"/>
          <w:szCs w:val="18"/>
          <w:color w:val="auto"/>
        </w:rPr>
        <w:t>Our Amended and Restated Certificate of Incorporation limits the Company’s directors’ and officers' liability to the fullest extent permitted under the DGCL. The DGCL allows for directors and officers of a corporation to not be personally liable for monetary damages for breach of their fiduciary duties as directors or officers, as applicable, except for liability:</w:t>
      </w:r>
    </w:p>
    <w:p>
      <w:pPr>
        <w:spacing w:after="0" w:line="177" w:lineRule="exact"/>
        <w:rPr>
          <w:sz w:val="20"/>
          <w:szCs w:val="20"/>
          <w:color w:val="auto"/>
        </w:rPr>
      </w:pPr>
    </w:p>
    <w:p>
      <w:pPr>
        <w:ind w:left="660" w:hanging="32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or officer derives an improper personal benefit;</w:t>
      </w:r>
    </w:p>
    <w:p>
      <w:pPr>
        <w:spacing w:after="0" w:line="116"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by an officer or director not in good faith or that involves intentional misconduct or a knowing violation of law;</w:t>
      </w:r>
    </w:p>
    <w:p>
      <w:pPr>
        <w:spacing w:after="0" w:line="116"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 director for any unlawful payment of dividends or redemption of shares;</w:t>
      </w:r>
    </w:p>
    <w:p>
      <w:pPr>
        <w:spacing w:after="0" w:line="116"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or officer's duty of loyalty to the corporation or its stockholders; or</w:t>
      </w:r>
    </w:p>
    <w:p>
      <w:pPr>
        <w:spacing w:after="0" w:line="116"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 officer in any action by or in the right of the corporation.</w:t>
      </w:r>
    </w:p>
    <w:p>
      <w:pPr>
        <w:spacing w:after="0" w:line="225"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or officers, then the liability of our directors and officers will be eliminated or limited to the fullest extent permitted by the DGCL, as so amended. The DGCL and the our Amended and Restated Bylaws provide that the Company will, in certain situations, indemnify the Company’s directors and officers and may indemnify other employees and other agents, to the fullest extent permitted by law. Any indemnified person is also entitled, subject to certain limitations, to advancement,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4" w:name="page15"/>
    <w:bookmarkEnd w:id="14"/>
    <w:p>
      <w:pPr>
        <w:jc w:val="both"/>
        <w:spacing w:after="0" w:line="281" w:lineRule="auto"/>
        <w:rPr>
          <w:sz w:val="20"/>
          <w:szCs w:val="20"/>
          <w:color w:val="auto"/>
        </w:rPr>
      </w:pPr>
      <w:r>
        <w:rPr>
          <w:rFonts w:ascii="Times New Roman" w:cs="Times New Roman" w:eastAsia="Times New Roman" w:hAnsi="Times New Roman"/>
          <w:sz w:val="18"/>
          <w:szCs w:val="18"/>
          <w:color w:val="auto"/>
        </w:rPr>
        <w:t>direct payment, or reimbursement of reasonable expenses (including attorneys’ fees and disbursements) in advance of the final disposition of the proceeding.</w:t>
      </w:r>
    </w:p>
    <w:p>
      <w:pPr>
        <w:spacing w:after="0" w:line="163" w:lineRule="exact"/>
        <w:rPr>
          <w:sz w:val="20"/>
          <w:szCs w:val="20"/>
          <w:color w:val="auto"/>
        </w:rPr>
      </w:pPr>
    </w:p>
    <w:p>
      <w:pPr>
        <w:jc w:val="both"/>
        <w:ind w:firstLine="405"/>
        <w:spacing w:after="0" w:line="265"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Amended and Restated Certificate of Incorporation and Amended and Restated Bylaws and the indemnification agreements are necessary to attract and retain qualified persons as directors and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Policies</w:t>
      </w:r>
    </w:p>
    <w:p>
      <w:pPr>
        <w:spacing w:after="0" w:line="227"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8"/>
          <w:szCs w:val="18"/>
          <w:color w:val="auto"/>
        </w:rPr>
        <w:t>The Company has adopted insider trading policies governing the purchase, sale, and/or other dispositions of our securities by our directors, officers, employees and contractors, as well as a trading policy governing the Company's repurchase of its own securities. We believe both policies are reasonably designed to promote compliance with insider trading laws, rules and regulations, and applicable NYSE exchange listing standards. Copies of our insider trading policies are filed as Exhibit 19.1 to the Original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Delinquent Section 16(a) Reports</w:t>
      </w:r>
    </w:p>
    <w:p>
      <w:pPr>
        <w:spacing w:after="0" w:line="253" w:lineRule="exact"/>
        <w:rPr>
          <w:sz w:val="20"/>
          <w:szCs w:val="20"/>
          <w:color w:val="auto"/>
        </w:rPr>
      </w:pPr>
    </w:p>
    <w:p>
      <w:pPr>
        <w:jc w:val="both"/>
        <w:ind w:firstLine="647"/>
        <w:spacing w:after="0" w:line="281"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own more than 10% of a registered class of our Class A common stock, to file with the SEC reports of ownership of such securities and changes in reported ownership.</w:t>
      </w:r>
    </w:p>
    <w:p>
      <w:pPr>
        <w:spacing w:after="0" w:line="190" w:lineRule="exact"/>
        <w:rPr>
          <w:sz w:val="20"/>
          <w:szCs w:val="20"/>
          <w:color w:val="auto"/>
        </w:rPr>
      </w:pPr>
    </w:p>
    <w:p>
      <w:pPr>
        <w:jc w:val="both"/>
        <w:ind w:firstLine="647"/>
        <w:spacing w:after="0" w:line="265" w:lineRule="auto"/>
        <w:rPr>
          <w:sz w:val="20"/>
          <w:szCs w:val="20"/>
          <w:color w:val="auto"/>
        </w:rPr>
      </w:pPr>
      <w:r>
        <w:rPr>
          <w:rFonts w:ascii="Times New Roman" w:cs="Times New Roman" w:eastAsia="Times New Roman" w:hAnsi="Times New Roman"/>
          <w:sz w:val="18"/>
          <w:szCs w:val="18"/>
          <w:color w:val="auto"/>
        </w:rPr>
        <w:t>Based on a review of reports filed with the SEC, or written representations from reporting persons that all reportable transactions were reported, we believe that, during 2025, our directors, executive officers, and 10% stockholders timely filed all reports that were required to be filed under Section 16(a).</w:t>
      </w:r>
    </w:p>
    <w:p>
      <w:pPr>
        <w:spacing w:after="0" w:line="17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42" w:lineRule="exact"/>
        <w:rPr>
          <w:sz w:val="20"/>
          <w:szCs w:val="20"/>
          <w:color w:val="auto"/>
        </w:rPr>
      </w:pPr>
    </w:p>
    <w:p>
      <w:pPr>
        <w:jc w:val="both"/>
        <w:ind w:firstLine="647"/>
        <w:spacing w:after="0" w:line="236" w:lineRule="auto"/>
        <w:rPr>
          <w:sz w:val="20"/>
          <w:szCs w:val="20"/>
          <w:color w:val="auto"/>
        </w:rPr>
      </w:pPr>
      <w:r>
        <w:rPr>
          <w:rFonts w:ascii="Times New Roman" w:cs="Times New Roman" w:eastAsia="Times New Roman" w:hAnsi="Times New Roman"/>
          <w:sz w:val="18"/>
          <w:szCs w:val="18"/>
          <w:color w:val="auto"/>
        </w:rPr>
        <w:t>We are an “emerging growth company,” as defined under the Jumpstart Our Business Startups Act, and a “smaller reporting company,” as defined under the Securities Act. As an emerging growth company and smaller reporting company, we have opted to comply with the executive compensation rules applicable to smaller reporting companies, which require compensation disclosure for our principal executive officer and our next two most highly compensated executive officers (other than our principal executive officer) as of the end of the last completed fiscal year (collectively, the “Named Executive Officers” or “NEOs”). Also, as an emerging growth company, and smaller reporting company, we are not required to include, and have not included, a Compensation Discussion and Analysis and certain of the other compensation tables required by Item 402 of Regulation S-K. Further, as an emerging growth company, and smaller reporting company, we are exempt from certain other requirements related to executive compensation, including the requirement to hold advisory votes on the compensation of our Named Executive Officers, the requirement to disclose a CEO pay ratio and the requirement to disclose “pay versus performance” information, as applicable.</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executives were our Named Executive Officers as of December 31, 2025:</w:t>
      </w:r>
    </w:p>
    <w:p>
      <w:pPr>
        <w:spacing w:after="0" w:line="117" w:lineRule="exact"/>
        <w:rPr>
          <w:sz w:val="20"/>
          <w:szCs w:val="20"/>
          <w:color w:val="auto"/>
        </w:rPr>
      </w:pPr>
    </w:p>
    <w:p>
      <w:pPr>
        <w:ind w:left="560" w:hanging="148"/>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Craig Peters, our Chief Executive Officer (“CEO”);</w:t>
      </w:r>
    </w:p>
    <w:p>
      <w:pPr>
        <w:spacing w:after="0" w:line="116" w:lineRule="exact"/>
        <w:rPr>
          <w:rFonts w:ascii="Times New Roman" w:cs="Times New Roman" w:eastAsia="Times New Roman" w:hAnsi="Times New Roman"/>
          <w:sz w:val="18"/>
          <w:szCs w:val="18"/>
          <w:color w:val="auto"/>
        </w:rPr>
      </w:pPr>
    </w:p>
    <w:p>
      <w:pPr>
        <w:ind w:left="560" w:hanging="148"/>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Nate Gandert, our Senior Vice President and Chief Technology Officer; and</w:t>
      </w:r>
    </w:p>
    <w:p>
      <w:pPr>
        <w:spacing w:after="0" w:line="116" w:lineRule="exact"/>
        <w:rPr>
          <w:rFonts w:ascii="Times New Roman" w:cs="Times New Roman" w:eastAsia="Times New Roman" w:hAnsi="Times New Roman"/>
          <w:sz w:val="18"/>
          <w:szCs w:val="18"/>
          <w:color w:val="auto"/>
        </w:rPr>
      </w:pPr>
    </w:p>
    <w:p>
      <w:pPr>
        <w:ind w:left="560" w:hanging="148"/>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 Foca, our Senior Vice President and Chief Marketing and Revenue Officer.</w:t>
      </w:r>
    </w:p>
    <w:p>
      <w:pPr>
        <w:spacing w:after="0" w:line="157" w:lineRule="exact"/>
        <w:rPr>
          <w:sz w:val="20"/>
          <w:szCs w:val="20"/>
          <w:color w:val="auto"/>
        </w:rPr>
      </w:pPr>
    </w:p>
    <w:p>
      <w:pPr>
        <w:ind w:firstLine="405"/>
        <w:spacing w:after="0" w:line="281" w:lineRule="auto"/>
        <w:rPr>
          <w:sz w:val="20"/>
          <w:szCs w:val="20"/>
          <w:color w:val="auto"/>
        </w:rPr>
      </w:pPr>
      <w:r>
        <w:rPr>
          <w:rFonts w:ascii="Times New Roman" w:cs="Times New Roman" w:eastAsia="Times New Roman" w:hAnsi="Times New Roman"/>
          <w:sz w:val="18"/>
          <w:szCs w:val="18"/>
          <w:color w:val="auto"/>
        </w:rPr>
        <w:t>To achieve our compensation objectives, we historically have provided our executives with a compensation package consisting of the following elements: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Element</w:t>
            </w:r>
          </w:p>
        </w:tc>
        <w:tc>
          <w:tcPr>
            <w:tcW w:w="7520" w:type="dxa"/>
            <w:vAlign w:val="bottom"/>
          </w:tcPr>
          <w:p>
            <w:pPr>
              <w:ind w:left="2880"/>
              <w:spacing w:after="0"/>
              <w:rPr>
                <w:sz w:val="20"/>
                <w:szCs w:val="20"/>
                <w:color w:val="auto"/>
              </w:rPr>
            </w:pPr>
            <w:r>
              <w:rPr>
                <w:rFonts w:ascii="Times New Roman" w:cs="Times New Roman" w:eastAsia="Times New Roman" w:hAnsi="Times New Roman"/>
                <w:sz w:val="18"/>
                <w:szCs w:val="18"/>
                <w:b w:val="1"/>
                <w:bCs w:val="1"/>
                <w:color w:val="auto"/>
              </w:rPr>
              <w:t>Compensation Purpose</w:t>
            </w:r>
          </w:p>
        </w:tc>
      </w:tr>
      <w:tr>
        <w:trPr>
          <w:trHeight w:val="27"/>
        </w:trPr>
        <w:tc>
          <w:tcPr>
            <w:tcW w:w="16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520" w:type="dxa"/>
            <w:vAlign w:val="bottom"/>
            <w:tcBorders>
              <w:bottom w:val="single" w:sz="8" w:color="auto"/>
            </w:tcBorders>
          </w:tcPr>
          <w:p>
            <w:pPr>
              <w:spacing w:after="0"/>
              <w:rPr>
                <w:sz w:val="2"/>
                <w:szCs w:val="2"/>
                <w:color w:val="auto"/>
              </w:rPr>
            </w:pPr>
          </w:p>
        </w:tc>
      </w:tr>
      <w:tr>
        <w:trPr>
          <w:trHeight w:val="218"/>
        </w:trPr>
        <w:tc>
          <w:tcPr>
            <w:tcW w:w="3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Base Salary</w:t>
            </w: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Provide a fixed level of cash compensation to attract, retain and reward talented and skilled executives</w:t>
            </w:r>
          </w:p>
        </w:tc>
      </w:tr>
      <w:tr>
        <w:trPr>
          <w:trHeight w:val="216"/>
        </w:trPr>
        <w:tc>
          <w:tcPr>
            <w:tcW w:w="1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that is competitive for such individuals specific to scope and impact of their job responsibilities and our</w:t>
            </w:r>
          </w:p>
        </w:tc>
      </w:tr>
      <w:tr>
        <w:trPr>
          <w:trHeight w:val="234"/>
        </w:trPr>
        <w:tc>
          <w:tcPr>
            <w:tcW w:w="1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industry.</w:t>
            </w:r>
          </w:p>
        </w:tc>
      </w:tr>
      <w:tr>
        <w:trPr>
          <w:trHeight w:val="229"/>
        </w:trPr>
        <w:tc>
          <w:tcPr>
            <w:tcW w:w="3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Annual Cash Bonus (“Non-Sales Bonus Plan”)</w:t>
            </w: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Incentivize and reward our executives for annual contributions to our performance by tying to both</w:t>
            </w:r>
          </w:p>
        </w:tc>
      </w:tr>
      <w:tr>
        <w:trPr>
          <w:trHeight w:val="236"/>
        </w:trPr>
        <w:tc>
          <w:tcPr>
            <w:tcW w:w="164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individual performance metrics.</w:t>
            </w:r>
          </w:p>
        </w:tc>
      </w:tr>
      <w:tr>
        <w:trPr>
          <w:trHeight w:val="251"/>
        </w:trPr>
        <w:tc>
          <w:tcPr>
            <w:tcW w:w="3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Long-Term Incentive Compensation</w:t>
            </w: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Promote an ownership culture and the maximization of long-term stockholder value by aligning the</w:t>
            </w:r>
          </w:p>
        </w:tc>
      </w:tr>
      <w:tr>
        <w:trPr>
          <w:trHeight w:val="234"/>
        </w:trPr>
        <w:tc>
          <w:tcPr>
            <w:tcW w:w="1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 of our executives and stockholders.</w:t>
            </w:r>
          </w:p>
        </w:tc>
      </w:tr>
      <w:tr>
        <w:trPr>
          <w:trHeight w:val="930"/>
        </w:trPr>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14</w:t>
            </w:r>
          </w:p>
        </w:tc>
      </w:tr>
      <w:tr>
        <w:trPr>
          <w:trHeight w:val="115"/>
        </w:trPr>
        <w:tc>
          <w:tcPr>
            <w:tcW w:w="164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48" w:lineRule="exact"/>
        <w:rPr>
          <w:sz w:val="20"/>
          <w:szCs w:val="20"/>
          <w:color w:val="auto"/>
        </w:rPr>
      </w:pPr>
    </w:p>
    <w:p>
      <w:pPr>
        <w:ind w:firstLine="405"/>
        <w:spacing w:after="0" w:line="281"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Named Executive Officers for the years ended December 31, 2025 and December 31, 2024.</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34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32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4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0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20"/>
                <w:szCs w:val="20"/>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20"/>
                <w:szCs w:val="20"/>
                <w:color w:val="auto"/>
              </w:rPr>
            </w:pPr>
          </w:p>
        </w:tc>
        <w:tc>
          <w:tcPr>
            <w:tcW w:w="7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(2)</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(2)</w:t>
            </w:r>
          </w:p>
        </w:tc>
        <w:tc>
          <w:tcPr>
            <w:tcW w:w="8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(3)</w:t>
            </w:r>
          </w:p>
        </w:tc>
        <w:tc>
          <w:tcPr>
            <w:tcW w:w="80" w:type="dxa"/>
            <w:vAlign w:val="bottom"/>
          </w:tcPr>
          <w:p>
            <w:pPr>
              <w:spacing w:after="0"/>
              <w:rPr>
                <w:sz w:val="20"/>
                <w:szCs w:val="20"/>
                <w:color w:val="auto"/>
              </w:rPr>
            </w:pPr>
          </w:p>
        </w:tc>
        <w:tc>
          <w:tcPr>
            <w:tcW w:w="132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6"/>
                <w:szCs w:val="26"/>
                <w:b w:val="1"/>
                <w:bCs w:val="1"/>
                <w:color w:val="auto"/>
                <w:w w:val="96"/>
                <w:vertAlign w:val="subscript"/>
              </w:rPr>
              <w:t>($)</w:t>
            </w:r>
            <w:r>
              <w:rPr>
                <w:rFonts w:ascii="Times New Roman" w:cs="Times New Roman" w:eastAsia="Times New Roman" w:hAnsi="Times New Roman"/>
                <w:sz w:val="9"/>
                <w:szCs w:val="9"/>
                <w:b w:val="1"/>
                <w:bCs w:val="1"/>
                <w:color w:val="auto"/>
                <w:w w:val="96"/>
              </w:rPr>
              <w:t>(4)(5)</w:t>
            </w:r>
          </w:p>
        </w:tc>
        <w:tc>
          <w:tcPr>
            <w:tcW w:w="80" w:type="dxa"/>
            <w:vAlign w:val="bottom"/>
          </w:tcPr>
          <w:p>
            <w:pPr>
              <w:spacing w:after="0"/>
              <w:rPr>
                <w:sz w:val="20"/>
                <w:szCs w:val="20"/>
                <w:color w:val="auto"/>
              </w:rPr>
            </w:pPr>
          </w:p>
        </w:tc>
        <w:tc>
          <w:tcPr>
            <w:tcW w:w="13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4"/>
        </w:trPr>
        <w:tc>
          <w:tcPr>
            <w:tcW w:w="1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Craig Peters,</w:t>
            </w: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979,483</w:t>
            </w:r>
          </w:p>
        </w:tc>
        <w:tc>
          <w:tcPr>
            <w:tcW w:w="80" w:type="dxa"/>
            <w:vAlign w:val="bottom"/>
          </w:tcPr>
          <w:p>
            <w:pPr>
              <w:spacing w:after="0"/>
              <w:rPr>
                <w:sz w:val="15"/>
                <w:szCs w:val="15"/>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1,315,500</w:t>
            </w:r>
          </w:p>
        </w:tc>
        <w:tc>
          <w:tcPr>
            <w:tcW w:w="80" w:type="dxa"/>
            <w:vAlign w:val="bottom"/>
          </w:tcPr>
          <w:p>
            <w:pPr>
              <w:spacing w:after="0"/>
              <w:rPr>
                <w:sz w:val="15"/>
                <w:szCs w:val="15"/>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1,475,475</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23,037</w:t>
            </w:r>
          </w:p>
        </w:tc>
        <w:tc>
          <w:tcPr>
            <w:tcW w:w="8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3,793,495</w:t>
            </w:r>
          </w:p>
        </w:tc>
        <w:tc>
          <w:tcPr>
            <w:tcW w:w="0" w:type="dxa"/>
            <w:vAlign w:val="bottom"/>
          </w:tcPr>
          <w:p>
            <w:pPr>
              <w:spacing w:after="0"/>
              <w:rPr>
                <w:sz w:val="1"/>
                <w:szCs w:val="1"/>
                <w:color w:val="auto"/>
              </w:rPr>
            </w:pPr>
          </w:p>
        </w:tc>
      </w:tr>
      <w:tr>
        <w:trPr>
          <w:trHeight w:val="218"/>
        </w:trPr>
        <w:tc>
          <w:tcPr>
            <w:tcW w:w="1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Chief Executive Officer</w:t>
            </w: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887,817</w:t>
            </w:r>
          </w:p>
        </w:tc>
        <w:tc>
          <w:tcPr>
            <w:tcW w:w="8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2,751,673</w:t>
            </w:r>
          </w:p>
        </w:tc>
        <w:tc>
          <w:tcPr>
            <w:tcW w:w="80" w:type="dxa"/>
            <w:vAlign w:val="bottom"/>
          </w:tcPr>
          <w:p>
            <w:pPr>
              <w:spacing w:after="0"/>
              <w:rPr>
                <w:sz w:val="18"/>
                <w:szCs w:val="18"/>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1,159,791</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22,375</w:t>
            </w:r>
          </w:p>
        </w:tc>
        <w:tc>
          <w:tcPr>
            <w:tcW w:w="80" w:type="dxa"/>
            <w:vAlign w:val="bottom"/>
          </w:tcPr>
          <w:p>
            <w:pPr>
              <w:spacing w:after="0"/>
              <w:rPr>
                <w:sz w:val="18"/>
                <w:szCs w:val="18"/>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4,821,656</w:t>
            </w:r>
          </w:p>
        </w:tc>
        <w:tc>
          <w:tcPr>
            <w:tcW w:w="0" w:type="dxa"/>
            <w:vAlign w:val="bottom"/>
          </w:tcPr>
          <w:p>
            <w:pPr>
              <w:spacing w:after="0"/>
              <w:rPr>
                <w:sz w:val="1"/>
                <w:szCs w:val="1"/>
                <w:color w:val="auto"/>
              </w:rPr>
            </w:pPr>
          </w:p>
        </w:tc>
      </w:tr>
      <w:tr>
        <w:trPr>
          <w:trHeight w:val="186"/>
        </w:trPr>
        <w:tc>
          <w:tcPr>
            <w:tcW w:w="1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and Director</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Nathaniel Gandert,</w:t>
            </w: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567,708</w:t>
            </w:r>
          </w:p>
        </w:tc>
        <w:tc>
          <w:tcPr>
            <w:tcW w:w="80" w:type="dxa"/>
            <w:vAlign w:val="bottom"/>
          </w:tcPr>
          <w:p>
            <w:pPr>
              <w:spacing w:after="0"/>
              <w:rPr>
                <w:sz w:val="19"/>
                <w:szCs w:val="19"/>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371,917</w:t>
            </w:r>
          </w:p>
        </w:tc>
        <w:tc>
          <w:tcPr>
            <w:tcW w:w="8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355,522</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16,637</w:t>
            </w:r>
          </w:p>
        </w:tc>
        <w:tc>
          <w:tcPr>
            <w:tcW w:w="80" w:type="dxa"/>
            <w:vAlign w:val="bottom"/>
          </w:tcPr>
          <w:p>
            <w:pPr>
              <w:spacing w:after="0"/>
              <w:rPr>
                <w:sz w:val="19"/>
                <w:szCs w:val="19"/>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1,311,514</w:t>
            </w:r>
          </w:p>
        </w:tc>
        <w:tc>
          <w:tcPr>
            <w:tcW w:w="0" w:type="dxa"/>
            <w:vAlign w:val="bottom"/>
          </w:tcPr>
          <w:p>
            <w:pPr>
              <w:spacing w:after="0"/>
              <w:rPr>
                <w:sz w:val="1"/>
                <w:szCs w:val="1"/>
                <w:color w:val="auto"/>
              </w:rPr>
            </w:pPr>
          </w:p>
        </w:tc>
      </w:tr>
      <w:tr>
        <w:trPr>
          <w:trHeight w:val="218"/>
        </w:trPr>
        <w:tc>
          <w:tcPr>
            <w:tcW w:w="1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Senior Vice President and</w:t>
            </w: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545,625</w:t>
            </w:r>
          </w:p>
        </w:tc>
        <w:tc>
          <w:tcPr>
            <w:tcW w:w="8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909,516</w:t>
            </w:r>
          </w:p>
        </w:tc>
        <w:tc>
          <w:tcPr>
            <w:tcW w:w="80" w:type="dxa"/>
            <w:vAlign w:val="bottom"/>
          </w:tcPr>
          <w:p>
            <w:pPr>
              <w:spacing w:after="0"/>
              <w:rPr>
                <w:sz w:val="18"/>
                <w:szCs w:val="18"/>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275,000</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16,061</w:t>
            </w:r>
          </w:p>
        </w:tc>
        <w:tc>
          <w:tcPr>
            <w:tcW w:w="80" w:type="dxa"/>
            <w:vAlign w:val="bottom"/>
          </w:tcPr>
          <w:p>
            <w:pPr>
              <w:spacing w:after="0"/>
              <w:rPr>
                <w:sz w:val="18"/>
                <w:szCs w:val="18"/>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1,746,202</w:t>
            </w:r>
          </w:p>
        </w:tc>
        <w:tc>
          <w:tcPr>
            <w:tcW w:w="0" w:type="dxa"/>
            <w:vAlign w:val="bottom"/>
          </w:tcPr>
          <w:p>
            <w:pPr>
              <w:spacing w:after="0"/>
              <w:rPr>
                <w:sz w:val="1"/>
                <w:szCs w:val="1"/>
                <w:color w:val="auto"/>
              </w:rPr>
            </w:pPr>
          </w:p>
        </w:tc>
      </w:tr>
      <w:tr>
        <w:trPr>
          <w:trHeight w:val="186"/>
        </w:trPr>
        <w:tc>
          <w:tcPr>
            <w:tcW w:w="1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Chief Technology Officer</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Gene Foca,</w:t>
            </w: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535,625</w:t>
            </w:r>
          </w:p>
        </w:tc>
        <w:tc>
          <w:tcPr>
            <w:tcW w:w="80" w:type="dxa"/>
            <w:vAlign w:val="bottom"/>
          </w:tcPr>
          <w:p>
            <w:pPr>
              <w:spacing w:after="0"/>
              <w:rPr>
                <w:sz w:val="19"/>
                <w:szCs w:val="19"/>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371,917</w:t>
            </w:r>
          </w:p>
        </w:tc>
        <w:tc>
          <w:tcPr>
            <w:tcW w:w="8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268,151</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18,571</w:t>
            </w:r>
          </w:p>
        </w:tc>
        <w:tc>
          <w:tcPr>
            <w:tcW w:w="80" w:type="dxa"/>
            <w:vAlign w:val="bottom"/>
          </w:tcPr>
          <w:p>
            <w:pPr>
              <w:spacing w:after="0"/>
              <w:rPr>
                <w:sz w:val="19"/>
                <w:szCs w:val="19"/>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1,194,264</w:t>
            </w:r>
          </w:p>
        </w:tc>
        <w:tc>
          <w:tcPr>
            <w:tcW w:w="0" w:type="dxa"/>
            <w:vAlign w:val="bottom"/>
          </w:tcPr>
          <w:p>
            <w:pPr>
              <w:spacing w:after="0"/>
              <w:rPr>
                <w:sz w:val="1"/>
                <w:szCs w:val="1"/>
                <w:color w:val="auto"/>
              </w:rPr>
            </w:pPr>
          </w:p>
        </w:tc>
      </w:tr>
      <w:tr>
        <w:trPr>
          <w:trHeight w:val="218"/>
        </w:trPr>
        <w:tc>
          <w:tcPr>
            <w:tcW w:w="1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Senior Vice President and</w:t>
            </w: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522,083</w:t>
            </w:r>
          </w:p>
        </w:tc>
        <w:tc>
          <w:tcPr>
            <w:tcW w:w="8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926,485</w:t>
            </w:r>
          </w:p>
        </w:tc>
        <w:tc>
          <w:tcPr>
            <w:tcW w:w="80" w:type="dxa"/>
            <w:vAlign w:val="bottom"/>
          </w:tcPr>
          <w:p>
            <w:pPr>
              <w:spacing w:after="0"/>
              <w:rPr>
                <w:sz w:val="18"/>
                <w:szCs w:val="18"/>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250,000</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18,601</w:t>
            </w:r>
          </w:p>
        </w:tc>
        <w:tc>
          <w:tcPr>
            <w:tcW w:w="80" w:type="dxa"/>
            <w:vAlign w:val="bottom"/>
          </w:tcPr>
          <w:p>
            <w:pPr>
              <w:spacing w:after="0"/>
              <w:rPr>
                <w:sz w:val="18"/>
                <w:szCs w:val="18"/>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1,717,169</w:t>
            </w:r>
          </w:p>
        </w:tc>
        <w:tc>
          <w:tcPr>
            <w:tcW w:w="0" w:type="dxa"/>
            <w:vAlign w:val="bottom"/>
          </w:tcPr>
          <w:p>
            <w:pPr>
              <w:spacing w:after="0"/>
              <w:rPr>
                <w:sz w:val="1"/>
                <w:szCs w:val="1"/>
                <w:color w:val="auto"/>
              </w:rPr>
            </w:pPr>
          </w:p>
        </w:tc>
      </w:tr>
      <w:tr>
        <w:trPr>
          <w:trHeight w:val="175"/>
        </w:trPr>
        <w:tc>
          <w:tcPr>
            <w:tcW w:w="1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Chief Marketing and</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Revenue Officer</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111"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base salary actually paid in 2025 and 2024. See </w:t>
      </w:r>
      <w:r>
        <w:rPr>
          <w:rFonts w:ascii="Times New Roman" w:cs="Times New Roman" w:eastAsia="Times New Roman" w:hAnsi="Times New Roman"/>
          <w:sz w:val="18"/>
          <w:szCs w:val="18"/>
          <w:i w:val="1"/>
          <w:iCs w:val="1"/>
          <w:color w:val="auto"/>
        </w:rPr>
        <w:t>“— Base Salary</w:t>
      </w:r>
      <w:r>
        <w:rPr>
          <w:rFonts w:ascii="Times New Roman" w:cs="Times New Roman" w:eastAsia="Times New Roman" w:hAnsi="Times New Roman"/>
          <w:sz w:val="18"/>
          <w:szCs w:val="18"/>
          <w:color w:val="auto"/>
        </w:rPr>
        <w:t>” below for more information.</w:t>
      </w:r>
    </w:p>
    <w:p>
      <w:pPr>
        <w:spacing w:after="0" w:line="213" w:lineRule="exact"/>
        <w:rPr>
          <w:rFonts w:ascii="Times New Roman" w:cs="Times New Roman" w:eastAsia="Times New Roman" w:hAnsi="Times New Roman"/>
          <w:sz w:val="18"/>
          <w:szCs w:val="18"/>
          <w:color w:val="auto"/>
        </w:rPr>
      </w:pPr>
    </w:p>
    <w:p>
      <w:pPr>
        <w:jc w:val="both"/>
        <w:ind w:left="340" w:hanging="332"/>
        <w:spacing w:after="0" w:line="238"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represent the grant date fair value of the stock units granted to our Named Executive Officers, as computed in accordance with FASB ASC Topic 718, excluding estimated forfeitures. See </w:t>
      </w:r>
      <w:r>
        <w:rPr>
          <w:rFonts w:ascii="Times New Roman" w:cs="Times New Roman" w:eastAsia="Times New Roman" w:hAnsi="Times New Roman"/>
          <w:sz w:val="18"/>
          <w:szCs w:val="18"/>
          <w:i w:val="1"/>
          <w:iCs w:val="1"/>
          <w:color w:val="auto"/>
        </w:rPr>
        <w:t>“Note 14  —  Equity-Based Compensation”</w:t>
      </w:r>
      <w:r>
        <w:rPr>
          <w:rFonts w:ascii="Times New Roman" w:cs="Times New Roman" w:eastAsia="Times New Roman" w:hAnsi="Times New Roman"/>
          <w:sz w:val="18"/>
          <w:szCs w:val="18"/>
          <w:color w:val="auto"/>
        </w:rPr>
        <w:t xml:space="preserve"> in our consolidated financial statements included in the Original Form 10-K for the assumptions used in computing the grant date fair value of such awards. For 2025 and 2024, the amounts reported in the “Stock Awards” column include grant date fair values of the RSUs, and the grant date fair values of the PSUs of $1,225,000, $326,667 and $326,667 granted to Messrs. Peters, Gandert and Foca, respectively. These amounts represent the third and second annual tranches, respectively, equal to one-third of the units subject to an award with a three-year performance period. The performance metrics for each tranche are selected and approved annually. Consequently, in accordance with FASB ASC Topic 718, only the third and second tranches for which the performance metrics were approved for 2025 and 2024, respectively, are considered granted in 2025 and 2024 and reported in the table. The full intended target value of the PSUs is $3,675,000, $980,000 and $980,000 for Messrs. Peters, Gandert and Foca, respectively.</w:t>
      </w:r>
    </w:p>
    <w:p>
      <w:pPr>
        <w:spacing w:after="0" w:line="188" w:lineRule="exact"/>
        <w:rPr>
          <w:rFonts w:ascii="Times New Roman" w:cs="Times New Roman" w:eastAsia="Times New Roman" w:hAnsi="Times New Roman"/>
          <w:sz w:val="18"/>
          <w:szCs w:val="18"/>
          <w:color w:val="auto"/>
        </w:rPr>
      </w:pPr>
    </w:p>
    <w:p>
      <w:pPr>
        <w:ind w:left="340" w:hanging="332"/>
        <w:spacing w:after="0" w:line="266"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represent non-equity incentive plan compensation earned in 2025 and paid in 2026 to each Named Executive Officer pursuant to the Non-Sales Bonus Plan. See </w:t>
      </w:r>
      <w:r>
        <w:rPr>
          <w:rFonts w:ascii="Times New Roman" w:cs="Times New Roman" w:eastAsia="Times New Roman" w:hAnsi="Times New Roman"/>
          <w:sz w:val="18"/>
          <w:szCs w:val="18"/>
          <w:i w:val="1"/>
          <w:iCs w:val="1"/>
          <w:color w:val="auto"/>
        </w:rPr>
        <w:t>“— Non-Sales Bonus Plan (Annual Cash Bonus Plan)</w:t>
      </w:r>
      <w:r>
        <w:rPr>
          <w:rFonts w:ascii="Times New Roman" w:cs="Times New Roman" w:eastAsia="Times New Roman" w:hAnsi="Times New Roman"/>
          <w:sz w:val="18"/>
          <w:szCs w:val="18"/>
          <w:color w:val="auto"/>
        </w:rPr>
        <w:t>” below for more information.</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42"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for 2025 represent reportable income on our split-benefit life insurance policies ($4,424, $1,790 and $2,923 for Messrs. Peters, Gandert and Foca, respectively) and a tax gross up for such income ($4,613, $577 and $1,648 for Messrs. Peters, Gandert and Foca, respectively), and employer matching contributions under our Section 401(k) profit sharing plan ($14,000 each for Messrs. Peters, Gandert and Foca).</w:t>
      </w:r>
    </w:p>
    <w:p>
      <w:pPr>
        <w:spacing w:after="0" w:line="20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for 2024 represent reportable income on our split-benefit life insurance policies ($4,198, $1,711 and $3,070 for Messrs. Peters, Gandert and Foca, respectively) and a tax gross up for such income ($4,377, $550 and $1,731 for Messrs. Peters, Gandert and Foca, respectively), and employer matching contributions under our Section 401(k) profit sharing plan ($13,800 each for Messrs. Peters, Gandert and Foca).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2025 Summary Compensation Table</w:t>
      </w:r>
    </w:p>
    <w:p>
      <w:pPr>
        <w:spacing w:after="0" w:line="161" w:lineRule="exact"/>
        <w:rPr>
          <w:sz w:val="20"/>
          <w:szCs w:val="20"/>
          <w:color w:val="auto"/>
        </w:rPr>
      </w:pPr>
    </w:p>
    <w:p>
      <w:pPr>
        <w:jc w:val="both"/>
        <w:ind w:firstLine="647"/>
        <w:spacing w:after="0" w:line="265" w:lineRule="auto"/>
        <w:rPr>
          <w:sz w:val="20"/>
          <w:szCs w:val="20"/>
          <w:color w:val="auto"/>
        </w:rPr>
      </w:pPr>
      <w:r>
        <w:rPr>
          <w:rFonts w:ascii="Times New Roman" w:cs="Times New Roman" w:eastAsia="Times New Roman" w:hAnsi="Times New Roman"/>
          <w:sz w:val="18"/>
          <w:szCs w:val="18"/>
          <w:color w:val="auto"/>
        </w:rPr>
        <w:t>For 2025, the compensation program for our Named Executive Officers consisted of base salary, a cash bonus opportunity under our Annual Cash Bonus Plan, and long-term incentive compensation in the form of equity awards. In addition, our Named Executive Officers were covered by Company-sponsored executive life and disability benefits and were eligible to participate in any employee benefit programs generally available to all our employees.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61"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Base salary is set at a level that reflects the remit, scope, and impact of the role and is commensurate with our Named Executive Officer’s contributions, prior experience, and sustained performance. Initial base salaries are established through arm’s-length negotiation at the time the individual Named Executive Officer is hired, taking into consideration any relevant factors as well as experience and an analysis of competitive market data. Thereafter, our Compensation Committee has generally reviewed, and adjusted as necessary, base salaries for each of our Named Executive Officers, at a minimum annually and whenever there is a change in the scope of the Named Executive Officer’s role. In setting base salary levels for 2025, our Compensation Committee considered a range of factors, including:</w:t>
      </w:r>
    </w:p>
    <w:p>
      <w:pPr>
        <w:spacing w:after="0" w:line="78" w:lineRule="exact"/>
        <w:rPr>
          <w:sz w:val="20"/>
          <w:szCs w:val="20"/>
          <w:color w:val="auto"/>
        </w:rPr>
      </w:pPr>
    </w:p>
    <w:p>
      <w:pPr>
        <w:ind w:left="560" w:hanging="148"/>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anticipated responsibilities and experience;</w:t>
      </w:r>
    </w:p>
    <w:p>
      <w:pPr>
        <w:spacing w:after="0" w:line="116" w:lineRule="exact"/>
        <w:rPr>
          <w:rFonts w:ascii="Times New Roman" w:cs="Times New Roman" w:eastAsia="Times New Roman" w:hAnsi="Times New Roman"/>
          <w:sz w:val="18"/>
          <w:szCs w:val="18"/>
          <w:color w:val="auto"/>
        </w:rPr>
      </w:pPr>
    </w:p>
    <w:p>
      <w:pPr>
        <w:ind w:left="580" w:hanging="168"/>
        <w:spacing w:after="0" w:line="281" w:lineRule="auto"/>
        <w:tabs>
          <w:tab w:leader="none" w:pos="5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collective experience and knowledge in compensating similarly situated individuals at other companies, including those in our selected peer group, informed by the Radford Global Technology and Radford Global Sales compensation surveys; and</w:t>
      </w:r>
    </w:p>
    <w:p>
      <w:pPr>
        <w:spacing w:after="0" w:line="54" w:lineRule="exact"/>
        <w:rPr>
          <w:rFonts w:ascii="Times New Roman" w:cs="Times New Roman" w:eastAsia="Times New Roman" w:hAnsi="Times New Roman"/>
          <w:sz w:val="18"/>
          <w:szCs w:val="18"/>
          <w:color w:val="auto"/>
        </w:rPr>
      </w:pPr>
    </w:p>
    <w:p>
      <w:pPr>
        <w:ind w:left="560" w:hanging="148"/>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Named Executive Officer’s existing equity awards.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Non-Sales Bonus Plan (“Annual Cash Bonus Plan”)</w:t>
      </w:r>
    </w:p>
    <w:p>
      <w:pPr>
        <w:spacing w:after="0" w:line="148" w:lineRule="exact"/>
        <w:rPr>
          <w:sz w:val="20"/>
          <w:szCs w:val="20"/>
          <w:color w:val="auto"/>
        </w:rPr>
      </w:pPr>
    </w:p>
    <w:p>
      <w:pPr>
        <w:jc w:val="both"/>
        <w:ind w:firstLine="647"/>
        <w:spacing w:after="0" w:line="265" w:lineRule="auto"/>
        <w:rPr>
          <w:sz w:val="20"/>
          <w:szCs w:val="20"/>
          <w:color w:val="auto"/>
        </w:rPr>
      </w:pPr>
      <w:r>
        <w:rPr>
          <w:rFonts w:ascii="Times New Roman" w:cs="Times New Roman" w:eastAsia="Times New Roman" w:hAnsi="Times New Roman"/>
          <w:sz w:val="18"/>
          <w:szCs w:val="18"/>
          <w:color w:val="auto"/>
        </w:rPr>
        <w:t>We maintain the Annual Cash Bonus Plan for our non-sales employees, including our Named Executive Officers. Like our other non-sales employees, in 2025, our Named Executive Officers received a target bonus opportunity reflected as a percentage of their base salaries, as applicable. Typically, their actual annual cash bonus payment is based on individual performance, provided the Company meets its performance measure target.</w:t>
      </w:r>
    </w:p>
    <w:p>
      <w:pPr>
        <w:spacing w:after="0" w:line="204" w:lineRule="exact"/>
        <w:rPr>
          <w:sz w:val="20"/>
          <w:szCs w:val="20"/>
          <w:color w:val="auto"/>
        </w:rPr>
      </w:pPr>
    </w:p>
    <w:p>
      <w:pPr>
        <w:jc w:val="both"/>
        <w:ind w:firstLine="647"/>
        <w:spacing w:after="0" w:line="257" w:lineRule="auto"/>
        <w:rPr>
          <w:sz w:val="20"/>
          <w:szCs w:val="20"/>
          <w:color w:val="auto"/>
        </w:rPr>
      </w:pPr>
      <w:r>
        <w:rPr>
          <w:rFonts w:ascii="Times New Roman" w:cs="Times New Roman" w:eastAsia="Times New Roman" w:hAnsi="Times New Roman"/>
          <w:sz w:val="18"/>
          <w:szCs w:val="18"/>
          <w:color w:val="auto"/>
        </w:rPr>
        <w:t>For 2025, the Annual Cash Bonus Plan was approved by our Board of Directors on February 5, 2025. For purposes of the 2025 Annual Cash Bonus Plan, our Board approved revenue and pre-bonus Adjusted EBITDA less Capex as the Company performance measures. For purposes of the Annual Cash Bonus Plan, Adjusted EBITDA less Capex is Net Income less (i) depreciation and amortization, (ii) loss and recovery on litigation, net of recovery,</w:t>
      </w:r>
    </w:p>
    <w:p>
      <w:pPr>
        <w:spacing w:after="0" w:line="1" w:lineRule="exact"/>
        <w:rPr>
          <w:sz w:val="20"/>
          <w:szCs w:val="20"/>
          <w:color w:val="auto"/>
        </w:rPr>
      </w:pPr>
    </w:p>
    <w:p>
      <w:pPr>
        <w:jc w:val="both"/>
        <w:ind w:firstLine="8"/>
        <w:spacing w:after="0" w:line="252"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expenses (net), (iv) interest expense, (v) fair value adjustments, foreign exchange and other non-operating (expense) income (net), (vi) loss on extinguishment of debt, (vii) income tax expense (benefits), (viii) equity-based compensation expense, net of capitalization and (ix) capital expenditures. Further, the CEO evaluated the individual performance of each other Named Executive Officer, taking into consideration such executive’s achievement of the objectives and key performance indicators for his role, an evaluation of his performance as measured against Getty Images’ Leadership Principles, and his contribution to the overall success of Getty Images. In the case of our CEO, his individual performance was evaluated by our Board of Directors.</w:t>
      </w:r>
    </w:p>
    <w:p>
      <w:pPr>
        <w:spacing w:after="0" w:line="174" w:lineRule="exact"/>
        <w:rPr>
          <w:sz w:val="20"/>
          <w:szCs w:val="20"/>
          <w:color w:val="auto"/>
        </w:rPr>
      </w:pPr>
    </w:p>
    <w:p>
      <w:pPr>
        <w:jc w:val="both"/>
        <w:ind w:firstLine="647"/>
        <w:spacing w:after="0" w:line="238" w:lineRule="auto"/>
        <w:rPr>
          <w:sz w:val="20"/>
          <w:szCs w:val="20"/>
          <w:color w:val="auto"/>
        </w:rPr>
      </w:pPr>
      <w:r>
        <w:rPr>
          <w:rFonts w:ascii="Times New Roman" w:cs="Times New Roman" w:eastAsia="Times New Roman" w:hAnsi="Times New Roman"/>
          <w:sz w:val="18"/>
          <w:szCs w:val="18"/>
          <w:color w:val="auto"/>
        </w:rPr>
        <w:t>Our Compensation Committee evaluated the Company’s performance against the company performance component and each individual NEO’s performance against his or her individual performance component following the end of the year and exercised its discretion to determine the amount to be paid based on the level of achievement of the company performance component and the amount to be paid based on our NEOs’ individual performance and approved the amount of each NEO’s annual bonus as set forth in the “Non-Equity Incentive Plan Compensation” column of the 2025 Summary Compensation Table above. The CEO's amount was also approved by our Board of Directors.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 Compensation</w:t>
      </w:r>
    </w:p>
    <w:p>
      <w:pPr>
        <w:spacing w:after="0" w:line="269"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In 2022, our Board of Directors adopted, and our then stockholder approved, the Getty Images Holdings, Inc. 2022 Equity Incentive Plan (the “2022 Plan”), the Getty Images Holdings, Inc. 2022 Earn Out Plan (the “Earn Out Plan”) and the Getty Images Holdings, Inc. 2022 Employee Stock Purchase Plan (the “ESPP” and together with the 2022 Plan and the Earnout Plan, the “Equity Incentive Plans”). The purpose of the Equity Incentive Plans is to align the interests of eligible participants with our stockholders by providing long-term incentive compensation opportunities in the form of time-based equity awards and/or equity awards tied to the Company’s performance based on relevant Company metrics. The intent of the Equity Incentive Plans is to advance the Company’s interests and increase stockholder value by attracting, retaining and motivating key personnel.</w:t>
      </w:r>
    </w:p>
    <w:p>
      <w:pPr>
        <w:spacing w:after="0" w:line="118"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 xml:space="preserve">The 2012 equity incentive plans of our predecessors (the “2012 Equity Plans”) were adopted on October 18, 2012, as amended from time to time (including most recently on September 1, 2021). Although the 2012 Equity Plans were terminated in 2022 in connection with the business combination pursuant to which we became a public company, they will continue to govern the terms and conditions of any outstanding awards previously granted thereunder. See “— </w:t>
      </w:r>
      <w:r>
        <w:rPr>
          <w:rFonts w:ascii="Times New Roman" w:cs="Times New Roman" w:eastAsia="Times New Roman" w:hAnsi="Times New Roman"/>
          <w:sz w:val="18"/>
          <w:szCs w:val="18"/>
          <w:i w:val="1"/>
          <w:iCs w:val="1"/>
          <w:color w:val="auto"/>
        </w:rPr>
        <w:t>Securities Authorized for Issuance Under Equity Compensation Plans</w:t>
      </w:r>
      <w:r>
        <w:rPr>
          <w:rFonts w:ascii="Times New Roman" w:cs="Times New Roman" w:eastAsia="Times New Roman" w:hAnsi="Times New Roman"/>
          <w:sz w:val="18"/>
          <w:szCs w:val="18"/>
          <w:color w:val="auto"/>
        </w:rPr>
        <w:t>” below.</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17" w:name="page18"/>
    <w:bookmarkEnd w:id="17"/>
    <w:p>
      <w:pPr>
        <w:jc w:val="both"/>
        <w:ind w:firstLine="647"/>
        <w:spacing w:after="0" w:line="251" w:lineRule="auto"/>
        <w:rPr>
          <w:sz w:val="20"/>
          <w:szCs w:val="20"/>
          <w:color w:val="auto"/>
        </w:rPr>
      </w:pPr>
      <w:r>
        <w:rPr>
          <w:rFonts w:ascii="Times New Roman" w:cs="Times New Roman" w:eastAsia="Times New Roman" w:hAnsi="Times New Roman"/>
          <w:sz w:val="18"/>
          <w:szCs w:val="18"/>
          <w:color w:val="auto"/>
        </w:rPr>
        <w:t xml:space="preserve">In 2025, our Compensation Committee determined to grant our Named Executive Officers both RSUs and PSUs. Please see the “— </w:t>
      </w:r>
      <w:r>
        <w:rPr>
          <w:rFonts w:ascii="Times New Roman" w:cs="Times New Roman" w:eastAsia="Times New Roman" w:hAnsi="Times New Roman"/>
          <w:sz w:val="18"/>
          <w:szCs w:val="18"/>
          <w:i w:val="1"/>
          <w:iCs w:val="1"/>
          <w:color w:val="auto"/>
        </w:rPr>
        <w:t>Outstanding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Awards at 2025 Fiscal Year-End</w:t>
      </w:r>
      <w:r>
        <w:rPr>
          <w:rFonts w:ascii="Times New Roman" w:cs="Times New Roman" w:eastAsia="Times New Roman" w:hAnsi="Times New Roman"/>
          <w:sz w:val="18"/>
          <w:szCs w:val="18"/>
          <w:color w:val="auto"/>
        </w:rPr>
        <w:t>” table and “—</w:t>
      </w:r>
      <w:r>
        <w:rPr>
          <w:rFonts w:ascii="Times New Roman" w:cs="Times New Roman" w:eastAsia="Times New Roman" w:hAnsi="Times New Roman"/>
          <w:sz w:val="18"/>
          <w:szCs w:val="18"/>
          <w:i w:val="1"/>
          <w:iCs w:val="1"/>
          <w:color w:val="auto"/>
        </w:rPr>
        <w:t xml:space="preserve"> Potential Payments Upon Termination or Change in Control” </w:t>
      </w:r>
      <w:r>
        <w:rPr>
          <w:rFonts w:ascii="Times New Roman" w:cs="Times New Roman" w:eastAsia="Times New Roman" w:hAnsi="Times New Roman"/>
          <w:sz w:val="18"/>
          <w:szCs w:val="18"/>
          <w:color w:val="auto"/>
        </w:rPr>
        <w:t>below for a description of the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of employment and change in control treatment of the awards granted in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of Stock Option and other Equity Award Grants</w:t>
      </w:r>
    </w:p>
    <w:p>
      <w:pPr>
        <w:spacing w:after="0" w:line="161"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Although we do not have a formal policy regarding the timing of stock option grants to our NEOs, we do not grant stock options or any other form of equity compensation in anticipation of the release of material, non-public information. Similarly, we do not time the release of material, non-public information based on stock option or other equity award grant dates for the purpose of affecting the value of any NEO award. During our 2025 fiscal year, none of our NEOs were granted any options to purchase shares of our Class A common stock.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401(k) Plan</w:t>
      </w:r>
    </w:p>
    <w:p>
      <w:pPr>
        <w:spacing w:after="0" w:line="161"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We sponsor a tax-qualified Section 401(k) profit-sharing plan (the “401(k) Plan”) for all U.S. employees, including our Named Executive Officers. Our full-time U.S. employees are eligible to participate in the 401(k) Plan and may contribute up to a specified percentage of their base salary to the 401(k) Plan. We make “safe harbor” matching contributions to the 401(k) Plan on behalf of eligible U.S. employees who are eligible to participate in the 401(k) Plan. We match 4% of a participant’s base salary deferrals. The total matching contribution does not exceed the match allocated based on IRS annual compensation limits.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 and Nonqualified Deferred Compensation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 of our Named Executive Officers participated in any defined benefit pension plans in 2025.</w:t>
      </w:r>
    </w:p>
    <w:p>
      <w:pPr>
        <w:spacing w:after="0" w:line="157" w:lineRule="exact"/>
        <w:rPr>
          <w:sz w:val="20"/>
          <w:szCs w:val="20"/>
          <w:color w:val="auto"/>
        </w:rPr>
      </w:pPr>
    </w:p>
    <w:p>
      <w:pPr>
        <w:jc w:val="both"/>
        <w:ind w:right="20" w:firstLine="647"/>
        <w:spacing w:after="0" w:line="281" w:lineRule="auto"/>
        <w:rPr>
          <w:sz w:val="20"/>
          <w:szCs w:val="20"/>
          <w:color w:val="auto"/>
        </w:rPr>
      </w:pPr>
      <w:r>
        <w:rPr>
          <w:rFonts w:ascii="Times New Roman" w:cs="Times New Roman" w:eastAsia="Times New Roman" w:hAnsi="Times New Roman"/>
          <w:sz w:val="18"/>
          <w:szCs w:val="18"/>
          <w:color w:val="auto"/>
        </w:rPr>
        <w:t>None of our Named Executive Officers participated in any non-qualified deferred compensation plans, supplemental executive retirement plans, or any other unfunded retirement arrangements in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Benefits and Perquisites</w:t>
      </w:r>
    </w:p>
    <w:p>
      <w:pPr>
        <w:spacing w:after="0" w:line="161"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We offer health and welfare benefits to our Named Executive Officers on the same basis as provided to all of our employees, including health, dental and vision insurance; life insurance; accidental death and dismemberment insurance; short-term and long-term disability insurance; a health savings account and flexible spending accounts. Additionally, some executives, including our Named Executive Officers, may receive transit subsidies and are eligible for our split-benefit life insurance policies and executive disability insurance.</w:t>
      </w:r>
    </w:p>
    <w:p>
      <w:pPr>
        <w:spacing w:after="0" w:line="101"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provide significant perquisites or other personal benefits to our Named Executive Officers except as generally made available to our employees or in situations where we believe it is appropriate to assist an individual in the performance of his or her duties, to make him more efficient and effective and for recruitment and retention purposes. During 2025, none of our Named Executive Officers received perquisites or other personal benefits that were, in the aggregate, equal to $10,000 or more for any individual.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61"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 xml:space="preserve">We have entered into employment agreements with each of our Named Executive Officers that generally set forth the terms and conditions of their employment, including base salary, target annual cash bonus opportunities, the opportunity to participate in our equity incentive plans and standard employee benefit plan participation. In addition, the Named Executive Officer employment agreements also contain provisions for certain payments and benefits in connection with certain terminations of employment, including a termination of employment in connection with a change in control of Getty Images as described further in “—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Peters</w:t>
      </w:r>
    </w:p>
    <w:p>
      <w:pPr>
        <w:spacing w:after="0" w:line="161"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We entered into an amended and restated employment agreement with Mr. Peters as of July 1, 2015, providing that commencing on December 31, 2017, and on each annual anniversary thereafter, the employment term would be automatically extended for an additional one-year term unless we or Mr. Peters provide three months’ notice not to renew the employment agreement term. Subsequently, the employment agreement was amended on January 27, 2017 (to adjust the target annual cash bonus percentage), on November 3, 2017 (to extend its term until December 31, 2020, subject to automatic one-year extensions unless either party provided three months’ notice of non-renewal), and on January 1, 2019</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18" w:name="page19"/>
    <w:bookmarkEnd w:id="18"/>
    <w:p>
      <w:pPr>
        <w:jc w:val="both"/>
        <w:spacing w:after="0" w:line="256" w:lineRule="auto"/>
        <w:rPr>
          <w:sz w:val="20"/>
          <w:szCs w:val="20"/>
          <w:color w:val="auto"/>
        </w:rPr>
      </w:pPr>
      <w:r>
        <w:rPr>
          <w:rFonts w:ascii="Times New Roman" w:cs="Times New Roman" w:eastAsia="Times New Roman" w:hAnsi="Times New Roman"/>
          <w:sz w:val="18"/>
          <w:szCs w:val="18"/>
          <w:color w:val="auto"/>
        </w:rPr>
        <w:t>(to elevate Mr. Peters to the position of Chief Executive Officer, adjust his base salary, and to extend its term until December 31, 2021, subject to automatic one-year renewals unless either party provides three months’ notice of non– renewal). On April 1, 2020, we amended Mr. Peters’ employment agreement to reduce his base salary in response to the COVID-19 pandemic and make other corresponding adjustments, and on October 1, 2020 we further amended his employment agreement to restore his base salary to its pre-COVID-19 pandemic level and make other corresponding adjustments. Effective January 1, 2024, we amended Mr. Peters’ employment agreement to reduce his base salary and make other corresponding adjustments, and, effective January 1, 2025, we amended Mr. Peters’ employment agreement to re-instate his base salary and make other corresponding adjustments.</w:t>
      </w:r>
    </w:p>
    <w:p>
      <w:pPr>
        <w:spacing w:after="0" w:line="105" w:lineRule="exact"/>
        <w:rPr>
          <w:sz w:val="20"/>
          <w:szCs w:val="20"/>
          <w:color w:val="auto"/>
        </w:rPr>
      </w:pPr>
    </w:p>
    <w:p>
      <w:pPr>
        <w:jc w:val="both"/>
        <w:ind w:firstLine="647"/>
        <w:spacing w:after="0" w:line="255" w:lineRule="auto"/>
        <w:rPr>
          <w:sz w:val="20"/>
          <w:szCs w:val="20"/>
          <w:color w:val="auto"/>
        </w:rPr>
      </w:pPr>
      <w:r>
        <w:rPr>
          <w:rFonts w:ascii="Times New Roman" w:cs="Times New Roman" w:eastAsia="Times New Roman" w:hAnsi="Times New Roman"/>
          <w:sz w:val="18"/>
          <w:szCs w:val="18"/>
          <w:color w:val="auto"/>
        </w:rPr>
        <w:t xml:space="preserve">Additionally, his employment agreement sets forth his duties as well as his annual base salary (which as of December 31, 2025 is $983,650 and subject to annual review by our Board of Directors), a target annual cash bonus award opportunity in an amount equal to a percentage of his annual base salary (currently 75%), the opportunity to participate in our equity incentive plan, and participation in our employee benefit plans on a no less favorable basis as those benefits are generally made available to the other senior executives of Getty Images. The employment agreement also contains certain restrictive covenants involving non-solicitation, non-competition, confidentiality of information, and the treatment and ownership of intellectual property arising during his employment with Getty Images. Further, the employment agreement provides for the rights and responsibilities of the parties in the event of certain terminations of Mr. Peters’ employment, as further described in “—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Gandert</w:t>
      </w:r>
    </w:p>
    <w:p>
      <w:pPr>
        <w:spacing w:after="0" w:line="161"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We entered into an employment agreement with Mr. Gandert as of June 1, 2016, providing that commencing on December 31, 2019, and on each annual anniversary thereafter, the employment term would be automatically extended for an additional one-year term unless we or Mr. Gandert provide three months’ notice not to renew the employment agreement term. On April 1, 2020, we amended Mr. Gandert’s employment agreement to reduce his base salary in response to the COVID-19 pandemic and make other corresponding adjustments, and on October 1, 2020, we further amended his employment agreement to restore his base salary to its pre-COVID-19 pandemic level and make other corresponding adjustments.</w:t>
      </w:r>
    </w:p>
    <w:p>
      <w:pPr>
        <w:spacing w:after="0" w:line="101"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 xml:space="preserve">The employment agreement sets forth Mr. Gandert’s position as Chief Technology Officer and duties as well as his annual base salary (which as of December 31, 2025 is $575,000 and subject to annual review by our Compensation Committee and Board of Directors), a target annual cash bonus award opportunity in an amount equal to a percentage of Mr. Gandert’s annual base salary (currently 50%), the opportunity to participate in our equity incentive plans and participation in our employee benefit plans that are no less favorable than those generally made available to other senior executives of Getty Images. The employment agreement also contains certain restrictive covenants involving non-solicitation, non-competition, confidentiality of information, and the treatment and ownership of intellectual property arising during his employment with Getty Images. Further, the employment agreement provides for the rights and responsibilities of the parties in the event of certain terminations of Mr. Gandert’s employment, as further described in “—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 upon Termination or Change in Control</w:t>
      </w:r>
      <w:r>
        <w:rPr>
          <w:rFonts w:ascii="Times New Roman" w:cs="Times New Roman" w:eastAsia="Times New Roman" w:hAnsi="Times New Roman"/>
          <w:sz w:val="18"/>
          <w:szCs w:val="18"/>
          <w:color w:val="auto"/>
        </w:rPr>
        <w:t>”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Mr. Foca</w:t>
      </w:r>
    </w:p>
    <w:p>
      <w:pPr>
        <w:spacing w:after="0" w:line="215" w:lineRule="exact"/>
        <w:rPr>
          <w:sz w:val="20"/>
          <w:szCs w:val="20"/>
          <w:color w:val="auto"/>
        </w:rPr>
      </w:pPr>
    </w:p>
    <w:p>
      <w:pPr>
        <w:jc w:val="both"/>
        <w:ind w:firstLine="647"/>
        <w:spacing w:after="0"/>
        <w:rPr>
          <w:sz w:val="20"/>
          <w:szCs w:val="20"/>
          <w:color w:val="auto"/>
        </w:rPr>
      </w:pPr>
      <w:r>
        <w:rPr>
          <w:rFonts w:ascii="Times New Roman" w:cs="Times New Roman" w:eastAsia="Times New Roman" w:hAnsi="Times New Roman"/>
          <w:sz w:val="18"/>
          <w:szCs w:val="18"/>
          <w:color w:val="auto"/>
        </w:rPr>
        <w:t>We entered into an employment agreement with Mr. Foca as of January 3, 2017, providing that commencing on December 31, 2019, and on each annual anniversary thereafter, the employment term would be automatically extended for an additional one-year term unless we or Mr. Foca provide three months’ written notice not to renew the employment agreement term. On April 1, 2020, we amended Mr. Foca’s employment agreement to reduce his base salary in response to the COVID-19 pandemic and make other corresponding adjustments, and on October 1, 2020, we further amended his employment agreement to restore his base salary to its pre-COVID-19 pandemic level and make other corresponding adjustments. On May 1, 2023, we amended Mr. Foca’s employment agreement to reflect his new title.</w:t>
      </w:r>
    </w:p>
    <w:p>
      <w:pPr>
        <w:spacing w:after="0" w:line="120"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 xml:space="preserve">The employment agreement sets forth Mr. Foca’s position as Senior Vice President, Chief Marketing and Revenue Officer and duties as well as his annual base salary (which as of December 31, 2025 is $540,000 and subject to annual review by our Compensation Committee and Board of Directors), a target annual cash bonus award opportunity in an amount equal to a percentage of Mr. Foca’s annual base salary (currently 50%), the opportunity to participate in our equity incentive plans and participation in our employee benefit plans that are no less favorable than those generally made available to other senior executives of Getty Images. The employment agreement also contains certain restrictive covenants involving confidentiality of information, and the treatment and ownership of intellectual property arising during his employment with Getty Images. Further, the employment agreement provides for the rights and responsibilities of the parties in the event of certain terminations of Mr. Foca’s employment, as further described in “— </w:t>
      </w:r>
      <w:r>
        <w:rPr>
          <w:rFonts w:ascii="Times New Roman" w:cs="Times New Roman" w:eastAsia="Times New Roman" w:hAnsi="Times New Roman"/>
          <w:sz w:val="18"/>
          <w:szCs w:val="18"/>
          <w:i w:val="1"/>
          <w:iCs w:val="1"/>
          <w:color w:val="auto"/>
        </w:rPr>
        <w:t>Potential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upon Termination or Change in Control</w:t>
      </w:r>
      <w:r>
        <w:rPr>
          <w:rFonts w:ascii="Times New Roman" w:cs="Times New Roman" w:eastAsia="Times New Roman" w:hAnsi="Times New Roman"/>
          <w:sz w:val="18"/>
          <w:szCs w:val="18"/>
          <w:color w:val="auto"/>
        </w:rPr>
        <w:t>” below.</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19" w:name="page20"/>
    <w:bookmarkEnd w:id="19"/>
    <w:p>
      <w:pPr>
        <w:ind w:left="3380"/>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 Table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presents information regarding outstanding equity awards held by our Named Executive Officers as of December 31, 2025:</w:t>
      </w:r>
    </w:p>
    <w:p>
      <w:pPr>
        <w:sectPr>
          <w:pgSz w:w="11900" w:h="16838" w:orient="portrait"/>
          <w:cols w:equalWidth="0" w:num="1">
            <w:col w:w="11240"/>
          </w:cols>
          <w:pgMar w:left="320" w:top="10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4"/>
          <w:szCs w:val="14"/>
          <w:color w:val="auto"/>
        </w:rPr>
        <w:t>Named</w:t>
      </w:r>
    </w:p>
    <w:p>
      <w:pPr>
        <w:spacing w:after="0" w:line="25"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4"/>
          <w:szCs w:val="14"/>
          <w:color w:val="auto"/>
        </w:rPr>
        <w:t>Executive</w:t>
      </w:r>
    </w:p>
    <w:p>
      <w:pPr>
        <w:spacing w:after="0" w:line="14"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4"/>
          <w:szCs w:val="14"/>
          <w:color w:val="auto"/>
        </w:rPr>
        <w:t>Officer</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Craig Peters,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Nate Gandert,</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Senior Vice</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Technology</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Number of</w:t>
      </w:r>
    </w:p>
    <w:p>
      <w:pPr>
        <w:spacing w:after="0" w:line="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securities</w:t>
      </w:r>
    </w:p>
    <w:p>
      <w:pPr>
        <w:spacing w:after="0" w:line="14" w:lineRule="exact"/>
        <w:rPr>
          <w:sz w:val="20"/>
          <w:szCs w:val="20"/>
          <w:color w:val="auto"/>
        </w:rPr>
      </w:pPr>
    </w:p>
    <w:p>
      <w:pPr>
        <w:jc w:val="center"/>
        <w:ind w:left="-759"/>
        <w:spacing w:after="0"/>
        <w:rPr>
          <w:sz w:val="20"/>
          <w:szCs w:val="20"/>
          <w:color w:val="auto"/>
        </w:rPr>
      </w:pPr>
      <w:r>
        <w:rPr>
          <w:rFonts w:ascii="Times New Roman" w:cs="Times New Roman" w:eastAsia="Times New Roman" w:hAnsi="Times New Roman"/>
          <w:sz w:val="14"/>
          <w:szCs w:val="14"/>
          <w:color w:val="auto"/>
        </w:rPr>
        <w:t>underlying</w:t>
      </w:r>
    </w:p>
    <w:p>
      <w:pPr>
        <w:spacing w:after="0" w:line="14" w:lineRule="exact"/>
        <w:rPr>
          <w:sz w:val="20"/>
          <w:szCs w:val="20"/>
          <w:color w:val="auto"/>
        </w:rPr>
      </w:pPr>
    </w:p>
    <w:p>
      <w:pPr>
        <w:jc w:val="center"/>
        <w:ind w:left="-759"/>
        <w:spacing w:after="0"/>
        <w:rPr>
          <w:sz w:val="20"/>
          <w:szCs w:val="20"/>
          <w:color w:val="auto"/>
        </w:rPr>
      </w:pPr>
      <w:r>
        <w:rPr>
          <w:rFonts w:ascii="Times New Roman" w:cs="Times New Roman" w:eastAsia="Times New Roman" w:hAnsi="Times New Roman"/>
          <w:sz w:val="14"/>
          <w:szCs w:val="14"/>
          <w:color w:val="auto"/>
        </w:rPr>
        <w:t>unexercised</w:t>
      </w:r>
    </w:p>
    <w:p>
      <w:pPr>
        <w:spacing w:after="0" w:line="14" w:lineRule="exact"/>
        <w:rPr>
          <w:sz w:val="20"/>
          <w:szCs w:val="20"/>
          <w:color w:val="auto"/>
        </w:rPr>
      </w:pPr>
    </w:p>
    <w:p>
      <w:pPr>
        <w:jc w:val="center"/>
        <w:ind w:left="-759"/>
        <w:spacing w:after="0"/>
        <w:rPr>
          <w:sz w:val="20"/>
          <w:szCs w:val="20"/>
          <w:color w:val="auto"/>
        </w:rPr>
      </w:pPr>
      <w:r>
        <w:rPr>
          <w:rFonts w:ascii="Times New Roman" w:cs="Times New Roman" w:eastAsia="Times New Roman" w:hAnsi="Times New Roman"/>
          <w:sz w:val="14"/>
          <w:szCs w:val="14"/>
          <w:color w:val="auto"/>
        </w:rPr>
        <w:t>options</w:t>
      </w:r>
    </w:p>
    <w:p>
      <w:pPr>
        <w:spacing w:after="0" w:line="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4"/>
          <w:szCs w:val="14"/>
          <w:color w:val="auto"/>
        </w:rPr>
        <w:t>Grant</w:t>
      </w:r>
      <w:r>
        <w:rPr>
          <w:sz w:val="20"/>
          <w:szCs w:val="20"/>
          <w:color w:val="auto"/>
        </w:rPr>
        <w:tab/>
      </w:r>
      <w:r>
        <w:rPr>
          <w:rFonts w:ascii="Times New Roman" w:cs="Times New Roman" w:eastAsia="Times New Roman" w:hAnsi="Times New Roman"/>
          <w:sz w:val="14"/>
          <w:szCs w:val="14"/>
          <w:color w:val="auto"/>
        </w:rPr>
        <w:t>(#)</w:t>
      </w:r>
    </w:p>
    <w:p>
      <w:pPr>
        <w:spacing w:after="0" w:line="9" w:lineRule="exact"/>
        <w:rPr>
          <w:sz w:val="20"/>
          <w:szCs w:val="20"/>
          <w:color w:val="auto"/>
        </w:rPr>
      </w:pPr>
    </w:p>
    <w:p>
      <w:pPr>
        <w:ind w:left="40"/>
        <w:spacing w:after="0"/>
        <w:tabs>
          <w:tab w:leader="none" w:pos="82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(Exercisable)</w:t>
      </w:r>
    </w:p>
    <w:p>
      <w:pPr>
        <w:spacing w:after="0" w:line="5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4"/>
          <w:szCs w:val="14"/>
          <w:color w:val="auto"/>
        </w:rPr>
        <w:t>2/26/2017</w:t>
      </w:r>
      <w:r>
        <w:rPr>
          <w:sz w:val="20"/>
          <w:szCs w:val="20"/>
          <w:color w:val="auto"/>
        </w:rPr>
        <w:tab/>
      </w:r>
      <w:r>
        <w:rPr>
          <w:rFonts w:ascii="Times New Roman" w:cs="Times New Roman" w:eastAsia="Times New Roman" w:hAnsi="Times New Roman"/>
          <w:sz w:val="14"/>
          <w:szCs w:val="14"/>
          <w:color w:val="auto"/>
        </w:rPr>
        <w:t>71,869</w:t>
      </w:r>
    </w:p>
    <w:p>
      <w:pPr>
        <w:spacing w:after="0" w:line="6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4"/>
          <w:szCs w:val="14"/>
          <w:color w:val="auto"/>
        </w:rPr>
        <w:t>2/26/2017</w:t>
      </w:r>
      <w:r>
        <w:rPr>
          <w:sz w:val="20"/>
          <w:szCs w:val="20"/>
          <w:color w:val="auto"/>
        </w:rPr>
        <w:tab/>
      </w:r>
      <w:r>
        <w:rPr>
          <w:rFonts w:ascii="Times New Roman" w:cs="Times New Roman" w:eastAsia="Times New Roman" w:hAnsi="Times New Roman"/>
          <w:sz w:val="14"/>
          <w:szCs w:val="14"/>
          <w:color w:val="auto"/>
        </w:rPr>
        <w:t>127,420</w:t>
      </w:r>
    </w:p>
    <w:p>
      <w:pPr>
        <w:spacing w:after="0" w:line="6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4"/>
          <w:szCs w:val="14"/>
          <w:color w:val="auto"/>
        </w:rPr>
        <w:t>2/26/2017</w:t>
      </w:r>
      <w:r>
        <w:rPr>
          <w:sz w:val="20"/>
          <w:szCs w:val="20"/>
          <w:color w:val="auto"/>
        </w:rPr>
        <w:tab/>
      </w:r>
      <w:r>
        <w:rPr>
          <w:rFonts w:ascii="Times New Roman" w:cs="Times New Roman" w:eastAsia="Times New Roman" w:hAnsi="Times New Roman"/>
          <w:sz w:val="14"/>
          <w:szCs w:val="14"/>
          <w:color w:val="auto"/>
        </w:rPr>
        <w:t>172,264</w:t>
      </w:r>
    </w:p>
    <w:p>
      <w:pPr>
        <w:spacing w:after="0" w:line="68" w:lineRule="exact"/>
        <w:rPr>
          <w:sz w:val="20"/>
          <w:szCs w:val="20"/>
          <w:color w:val="auto"/>
        </w:rPr>
      </w:pPr>
    </w:p>
    <w:p>
      <w:pPr>
        <w:ind w:left="60"/>
        <w:spacing w:after="0"/>
        <w:tabs>
          <w:tab w:leader="none" w:pos="1080" w:val="left"/>
        </w:tabs>
        <w:rPr>
          <w:sz w:val="20"/>
          <w:szCs w:val="20"/>
          <w:color w:val="auto"/>
        </w:rPr>
      </w:pPr>
      <w:r>
        <w:rPr>
          <w:rFonts w:ascii="Times New Roman" w:cs="Times New Roman" w:eastAsia="Times New Roman" w:hAnsi="Times New Roman"/>
          <w:sz w:val="14"/>
          <w:szCs w:val="14"/>
          <w:color w:val="auto"/>
        </w:rPr>
        <w:t>3/1/2017</w:t>
      </w:r>
      <w:r>
        <w:rPr>
          <w:sz w:val="20"/>
          <w:szCs w:val="20"/>
          <w:color w:val="auto"/>
        </w:rPr>
        <w:tab/>
      </w:r>
      <w:r>
        <w:rPr>
          <w:rFonts w:ascii="Times New Roman" w:cs="Times New Roman" w:eastAsia="Times New Roman" w:hAnsi="Times New Roman"/>
          <w:sz w:val="14"/>
          <w:szCs w:val="14"/>
          <w:color w:val="auto"/>
        </w:rPr>
        <w:t>1,565,691</w:t>
      </w:r>
    </w:p>
    <w:p>
      <w:pPr>
        <w:spacing w:after="0" w:line="6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4"/>
          <w:szCs w:val="14"/>
          <w:color w:val="auto"/>
        </w:rPr>
        <w:t>4/10/2019</w:t>
      </w:r>
      <w:r>
        <w:rPr>
          <w:sz w:val="20"/>
          <w:szCs w:val="20"/>
          <w:color w:val="auto"/>
        </w:rPr>
        <w:tab/>
      </w:r>
      <w:r>
        <w:rPr>
          <w:rFonts w:ascii="Times New Roman" w:cs="Times New Roman" w:eastAsia="Times New Roman" w:hAnsi="Times New Roman"/>
          <w:sz w:val="14"/>
          <w:szCs w:val="14"/>
          <w:color w:val="auto"/>
        </w:rPr>
        <w:t>1,758,203</w:t>
      </w:r>
    </w:p>
    <w:p>
      <w:pPr>
        <w:spacing w:after="0" w:line="6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4"/>
          <w:szCs w:val="14"/>
          <w:color w:val="auto"/>
        </w:rPr>
        <w:t>4/10/2019</w:t>
      </w:r>
      <w:r>
        <w:rPr>
          <w:sz w:val="20"/>
          <w:szCs w:val="20"/>
          <w:color w:val="auto"/>
        </w:rPr>
        <w:tab/>
      </w:r>
      <w:r>
        <w:rPr>
          <w:rFonts w:ascii="Times New Roman" w:cs="Times New Roman" w:eastAsia="Times New Roman" w:hAnsi="Times New Roman"/>
          <w:sz w:val="14"/>
          <w:szCs w:val="14"/>
          <w:color w:val="auto"/>
        </w:rPr>
        <w:t>939,415</w:t>
      </w:r>
    </w:p>
    <w:p>
      <w:pPr>
        <w:spacing w:after="0" w:line="6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4"/>
          <w:szCs w:val="14"/>
          <w:color w:val="auto"/>
        </w:rPr>
        <w:t>3/16/2023</w:t>
      </w:r>
      <w:r>
        <w:rPr>
          <w:sz w:val="20"/>
          <w:szCs w:val="20"/>
          <w:color w:val="auto"/>
        </w:rPr>
        <w:tab/>
      </w:r>
      <w:r>
        <w:rPr>
          <w:rFonts w:ascii="Times New Roman" w:cs="Times New Roman" w:eastAsia="Times New Roman" w:hAnsi="Times New Roman"/>
          <w:sz w:val="14"/>
          <w:szCs w:val="14"/>
          <w:color w:val="auto"/>
        </w:rPr>
        <w:t>458,750</w:t>
      </w:r>
    </w:p>
    <w:p>
      <w:pPr>
        <w:spacing w:after="0" w:line="6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4"/>
          <w:szCs w:val="14"/>
          <w:color w:val="auto"/>
        </w:rPr>
        <w:t>3/16/2023</w:t>
      </w:r>
      <w:r>
        <w:rPr>
          <w:sz w:val="20"/>
          <w:szCs w:val="20"/>
          <w:color w:val="auto"/>
        </w:rPr>
        <w:tab/>
      </w:r>
      <w:r>
        <w:rPr>
          <w:rFonts w:ascii="Times New Roman" w:cs="Times New Roman" w:eastAsia="Times New Roman" w:hAnsi="Times New Roman"/>
          <w:sz w:val="14"/>
          <w:szCs w:val="14"/>
          <w:color w:val="auto"/>
        </w:rPr>
        <w:t>458,750</w:t>
      </w:r>
    </w:p>
    <w:p>
      <w:pPr>
        <w:spacing w:after="0" w:line="6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4"/>
          <w:szCs w:val="14"/>
          <w:color w:val="auto"/>
        </w:rPr>
        <w:t>3/16/2023</w:t>
      </w:r>
      <w:r>
        <w:rPr>
          <w:sz w:val="20"/>
          <w:szCs w:val="20"/>
          <w:color w:val="auto"/>
        </w:rPr>
        <w:tab/>
      </w:r>
      <w:r>
        <w:rPr>
          <w:rFonts w:ascii="Times New Roman" w:cs="Times New Roman" w:eastAsia="Times New Roman" w:hAnsi="Times New Roman"/>
          <w:sz w:val="14"/>
          <w:szCs w:val="14"/>
          <w:color w:val="auto"/>
        </w:rPr>
        <w:t>458,750</w:t>
      </w:r>
    </w:p>
    <w:p>
      <w:pPr>
        <w:spacing w:after="0" w:line="68"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4"/>
          <w:szCs w:val="14"/>
          <w:color w:val="auto"/>
        </w:rPr>
        <w:t>7/11/2024</w:t>
      </w:r>
      <w:r>
        <w:rPr>
          <w:sz w:val="20"/>
          <w:szCs w:val="20"/>
          <w:color w:val="auto"/>
        </w:rPr>
        <w:tab/>
      </w:r>
      <w:r>
        <w:rPr>
          <w:rFonts w:ascii="Times New Roman" w:cs="Times New Roman" w:eastAsia="Times New Roman" w:hAnsi="Times New Roman"/>
          <w:sz w:val="14"/>
          <w:szCs w:val="14"/>
          <w:color w:val="auto"/>
        </w:rPr>
        <w:t>—</w:t>
      </w:r>
    </w:p>
    <w:p>
      <w:pPr>
        <w:spacing w:after="0" w:line="68"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4"/>
          <w:szCs w:val="14"/>
          <w:color w:val="auto"/>
        </w:rPr>
        <w:t>5/29/2025</w:t>
      </w:r>
      <w:r>
        <w:rPr>
          <w:sz w:val="20"/>
          <w:szCs w:val="20"/>
          <w:color w:val="auto"/>
        </w:rPr>
        <w:tab/>
      </w:r>
      <w:r>
        <w:rPr>
          <w:rFonts w:ascii="Times New Roman" w:cs="Times New Roman" w:eastAsia="Times New Roman" w:hAnsi="Times New Roman"/>
          <w:sz w:val="14"/>
          <w:szCs w:val="14"/>
          <w:color w:val="auto"/>
        </w:rPr>
        <w:t>—</w:t>
      </w:r>
    </w:p>
    <w:p>
      <w:pPr>
        <w:spacing w:after="0" w:line="6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4"/>
          <w:szCs w:val="14"/>
          <w:color w:val="auto"/>
        </w:rPr>
        <w:t>2/26/2017</w:t>
      </w:r>
      <w:r>
        <w:rPr>
          <w:sz w:val="20"/>
          <w:szCs w:val="20"/>
          <w:color w:val="auto"/>
        </w:rPr>
        <w:tab/>
      </w:r>
      <w:r>
        <w:rPr>
          <w:rFonts w:ascii="Times New Roman" w:cs="Times New Roman" w:eastAsia="Times New Roman" w:hAnsi="Times New Roman"/>
          <w:sz w:val="14"/>
          <w:szCs w:val="14"/>
          <w:color w:val="auto"/>
        </w:rPr>
        <w:t>13,996</w:t>
      </w:r>
    </w:p>
    <w:p>
      <w:pPr>
        <w:spacing w:after="0" w:line="6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4"/>
          <w:szCs w:val="14"/>
          <w:color w:val="auto"/>
        </w:rPr>
        <w:t>2/26/2017</w:t>
      </w:r>
      <w:r>
        <w:rPr>
          <w:sz w:val="20"/>
          <w:szCs w:val="20"/>
          <w:color w:val="auto"/>
        </w:rPr>
        <w:tab/>
      </w:r>
      <w:r>
        <w:rPr>
          <w:rFonts w:ascii="Times New Roman" w:cs="Times New Roman" w:eastAsia="Times New Roman" w:hAnsi="Times New Roman"/>
          <w:sz w:val="14"/>
          <w:szCs w:val="14"/>
          <w:color w:val="auto"/>
        </w:rPr>
        <w:t>29,535</w:t>
      </w:r>
    </w:p>
    <w:p>
      <w:pPr>
        <w:spacing w:after="0" w:line="6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4"/>
          <w:szCs w:val="14"/>
          <w:color w:val="auto"/>
        </w:rPr>
        <w:t>2/26/2017</w:t>
      </w:r>
      <w:r>
        <w:rPr>
          <w:sz w:val="20"/>
          <w:szCs w:val="20"/>
          <w:color w:val="auto"/>
        </w:rPr>
        <w:tab/>
      </w:r>
      <w:r>
        <w:rPr>
          <w:rFonts w:ascii="Times New Roman" w:cs="Times New Roman" w:eastAsia="Times New Roman" w:hAnsi="Times New Roman"/>
          <w:sz w:val="14"/>
          <w:szCs w:val="14"/>
          <w:color w:val="auto"/>
        </w:rPr>
        <w:t>39,938</w:t>
      </w:r>
    </w:p>
    <w:p>
      <w:pPr>
        <w:spacing w:after="0" w:line="68" w:lineRule="exact"/>
        <w:rPr>
          <w:sz w:val="20"/>
          <w:szCs w:val="20"/>
          <w:color w:val="auto"/>
        </w:rPr>
      </w:pPr>
    </w:p>
    <w:p>
      <w:pPr>
        <w:ind w:left="60"/>
        <w:spacing w:after="0"/>
        <w:tabs>
          <w:tab w:leader="none" w:pos="1200" w:val="left"/>
        </w:tabs>
        <w:rPr>
          <w:sz w:val="20"/>
          <w:szCs w:val="20"/>
          <w:color w:val="auto"/>
        </w:rPr>
      </w:pPr>
      <w:r>
        <w:rPr>
          <w:rFonts w:ascii="Times New Roman" w:cs="Times New Roman" w:eastAsia="Times New Roman" w:hAnsi="Times New Roman"/>
          <w:sz w:val="14"/>
          <w:szCs w:val="14"/>
          <w:color w:val="auto"/>
        </w:rPr>
        <w:t>3/1/2017</w:t>
      </w:r>
      <w:r>
        <w:rPr>
          <w:sz w:val="20"/>
          <w:szCs w:val="20"/>
          <w:color w:val="auto"/>
        </w:rPr>
        <w:tab/>
      </w:r>
      <w:r>
        <w:rPr>
          <w:rFonts w:ascii="Times New Roman" w:cs="Times New Roman" w:eastAsia="Times New Roman" w:hAnsi="Times New Roman"/>
          <w:sz w:val="14"/>
          <w:szCs w:val="14"/>
          <w:color w:val="auto"/>
        </w:rPr>
        <w:t>488,216</w:t>
      </w:r>
    </w:p>
    <w:p>
      <w:pPr>
        <w:spacing w:after="0" w:line="6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4"/>
          <w:szCs w:val="14"/>
          <w:color w:val="auto"/>
        </w:rPr>
        <w:t>4/10/2019</w:t>
      </w:r>
      <w:r>
        <w:rPr>
          <w:sz w:val="20"/>
          <w:szCs w:val="20"/>
          <w:color w:val="auto"/>
        </w:rPr>
        <w:tab/>
      </w:r>
      <w:r>
        <w:rPr>
          <w:rFonts w:ascii="Times New Roman" w:cs="Times New Roman" w:eastAsia="Times New Roman" w:hAnsi="Times New Roman"/>
          <w:sz w:val="14"/>
          <w:szCs w:val="14"/>
          <w:color w:val="auto"/>
        </w:rPr>
        <w:t>986,117</w:t>
      </w:r>
    </w:p>
    <w:p>
      <w:pPr>
        <w:spacing w:after="0" w:line="6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4"/>
          <w:szCs w:val="14"/>
          <w:color w:val="auto"/>
        </w:rPr>
        <w:t>4/10/2019</w:t>
      </w:r>
      <w:r>
        <w:rPr>
          <w:sz w:val="20"/>
          <w:szCs w:val="20"/>
          <w:color w:val="auto"/>
        </w:rPr>
        <w:tab/>
      </w:r>
      <w:r>
        <w:rPr>
          <w:rFonts w:ascii="Times New Roman" w:cs="Times New Roman" w:eastAsia="Times New Roman" w:hAnsi="Times New Roman"/>
          <w:sz w:val="14"/>
          <w:szCs w:val="14"/>
          <w:color w:val="auto"/>
        </w:rPr>
        <w:t>292,930</w:t>
      </w:r>
    </w:p>
    <w:p>
      <w:pPr>
        <w:spacing w:after="0" w:line="6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4"/>
          <w:szCs w:val="14"/>
          <w:color w:val="auto"/>
        </w:rPr>
        <w:t>3/16/2023</w:t>
      </w:r>
      <w:r>
        <w:rPr>
          <w:sz w:val="20"/>
          <w:szCs w:val="20"/>
          <w:color w:val="auto"/>
        </w:rPr>
        <w:tab/>
      </w:r>
      <w:r>
        <w:rPr>
          <w:rFonts w:ascii="Times New Roman" w:cs="Times New Roman" w:eastAsia="Times New Roman" w:hAnsi="Times New Roman"/>
          <w:sz w:val="14"/>
          <w:szCs w:val="14"/>
          <w:color w:val="auto"/>
        </w:rPr>
        <w:t>458,750</w:t>
      </w:r>
    </w:p>
    <w:p>
      <w:pPr>
        <w:spacing w:after="0" w:line="68"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4"/>
          <w:szCs w:val="14"/>
          <w:color w:val="auto"/>
        </w:rPr>
        <w:t>7/11/2024</w:t>
      </w:r>
      <w:r>
        <w:rPr>
          <w:sz w:val="20"/>
          <w:szCs w:val="20"/>
          <w:color w:val="auto"/>
        </w:rPr>
        <w:tab/>
      </w:r>
      <w:r>
        <w:rPr>
          <w:rFonts w:ascii="Times New Roman" w:cs="Times New Roman" w:eastAsia="Times New Roman" w:hAnsi="Times New Roman"/>
          <w:sz w:val="14"/>
          <w:szCs w:val="14"/>
          <w:color w:val="auto"/>
        </w:rPr>
        <w:t>—</w:t>
      </w:r>
    </w:p>
    <w:p>
      <w:pPr>
        <w:spacing w:after="0" w:line="68"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4"/>
          <w:szCs w:val="14"/>
          <w:color w:val="auto"/>
        </w:rPr>
        <w:t>5/29/2025</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Incentive Plan</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3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Number of</w:t>
            </w: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Number of</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Awards:</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Number of</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securities</w:t>
            </w: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shares or</w:t>
            </w:r>
          </w:p>
        </w:tc>
        <w:tc>
          <w:tcPr>
            <w:tcW w:w="2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value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unearned</w:t>
            </w:r>
          </w:p>
        </w:tc>
        <w:tc>
          <w:tcPr>
            <w:tcW w:w="16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Equity Incentive Plan</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underlying</w:t>
            </w: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units of</w:t>
            </w:r>
          </w:p>
        </w:tc>
        <w:tc>
          <w:tcPr>
            <w:tcW w:w="2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 shares or</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shares, units,</w:t>
            </w:r>
          </w:p>
        </w:tc>
        <w:tc>
          <w:tcPr>
            <w:tcW w:w="16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Awards: Market or payout</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3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unexercised</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w:t>
            </w:r>
          </w:p>
        </w:tc>
        <w:tc>
          <w:tcPr>
            <w:tcW w:w="9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stock that</w:t>
            </w:r>
          </w:p>
        </w:tc>
        <w:tc>
          <w:tcPr>
            <w:tcW w:w="2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units of stock</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 other rights</w:t>
            </w:r>
          </w:p>
        </w:tc>
        <w:tc>
          <w:tcPr>
            <w:tcW w:w="16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value of unearned shares,</w:t>
            </w: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1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options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exercise</w:t>
            </w:r>
          </w:p>
        </w:tc>
        <w:tc>
          <w:tcPr>
            <w:tcW w:w="9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Option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have not</w:t>
            </w: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that have not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that have not</w:t>
            </w:r>
          </w:p>
        </w:tc>
        <w:tc>
          <w:tcPr>
            <w:tcW w:w="16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units, or other rights that</w:t>
            </w: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3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7"/>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price</w:t>
            </w:r>
          </w:p>
        </w:tc>
        <w:tc>
          <w:tcPr>
            <w:tcW w:w="9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expiration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vested</w:t>
            </w:r>
          </w:p>
        </w:tc>
        <w:tc>
          <w:tcPr>
            <w:tcW w:w="2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vested (4)(5)</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vested (5)(6)</w:t>
            </w:r>
          </w:p>
        </w:tc>
        <w:tc>
          <w:tcPr>
            <w:tcW w:w="16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have not vested (5)(6)</w:t>
            </w:r>
          </w:p>
        </w:tc>
        <w:tc>
          <w:tcPr>
            <w:tcW w:w="0" w:type="dxa"/>
            <w:vAlign w:val="bottom"/>
          </w:tcPr>
          <w:p>
            <w:pPr>
              <w:spacing w:after="0"/>
              <w:rPr>
                <w:sz w:val="1"/>
                <w:szCs w:val="1"/>
                <w:color w:val="auto"/>
              </w:rPr>
            </w:pPr>
          </w:p>
        </w:tc>
      </w:tr>
      <w:tr>
        <w:trPr>
          <w:trHeight w:val="200"/>
        </w:trPr>
        <w:tc>
          <w:tcPr>
            <w:tcW w:w="280" w:type="dxa"/>
            <w:vAlign w:val="bottom"/>
          </w:tcPr>
          <w:p>
            <w:pPr>
              <w:spacing w:after="0"/>
              <w:rPr>
                <w:sz w:val="17"/>
                <w:szCs w:val="17"/>
                <w:color w:val="auto"/>
              </w:rPr>
            </w:pPr>
          </w:p>
        </w:tc>
        <w:tc>
          <w:tcPr>
            <w:tcW w:w="13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(Unexercisable)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9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date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2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6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7"/>
              </w:rPr>
              <w:t>($)</w:t>
            </w:r>
          </w:p>
        </w:tc>
        <w:tc>
          <w:tcPr>
            <w:tcW w:w="0" w:type="dxa"/>
            <w:vAlign w:val="bottom"/>
          </w:tcPr>
          <w:p>
            <w:pPr>
              <w:spacing w:after="0"/>
              <w:rPr>
                <w:sz w:val="1"/>
                <w:szCs w:val="1"/>
                <w:color w:val="auto"/>
              </w:rPr>
            </w:pPr>
          </w:p>
        </w:tc>
      </w:tr>
      <w:tr>
        <w:trPr>
          <w:trHeight w:val="219"/>
        </w:trPr>
        <w:tc>
          <w:tcPr>
            <w:tcW w:w="2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7"/>
              </w:rPr>
              <w:t>(1)</w:t>
            </w:r>
          </w:p>
        </w:tc>
        <w:tc>
          <w:tcPr>
            <w:tcW w:w="1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3.13</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2/25/2027</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7"/>
              </w:rPr>
              <w:t>(1)</w:t>
            </w:r>
          </w:p>
        </w:tc>
        <w:tc>
          <w:tcPr>
            <w:tcW w:w="1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3.13</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2/25/2027</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7"/>
              </w:rPr>
              <w:t>(1)</w:t>
            </w:r>
          </w:p>
        </w:tc>
        <w:tc>
          <w:tcPr>
            <w:tcW w:w="1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3.13</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2/25/2027</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7"/>
              </w:rPr>
              <w:t>(1)</w:t>
            </w:r>
          </w:p>
        </w:tc>
        <w:tc>
          <w:tcPr>
            <w:tcW w:w="1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3.13</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2/28/2027</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7"/>
              </w:rPr>
              <w:t>(1)</w:t>
            </w:r>
          </w:p>
        </w:tc>
        <w:tc>
          <w:tcPr>
            <w:tcW w:w="1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2.74</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4/9/2029</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7"/>
              </w:rPr>
              <w:t>(1)</w:t>
            </w:r>
          </w:p>
        </w:tc>
        <w:tc>
          <w:tcPr>
            <w:tcW w:w="1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2.74</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4/9/2029</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7"/>
              </w:rPr>
              <w:t>(2)</w:t>
            </w:r>
          </w:p>
        </w:tc>
        <w:tc>
          <w:tcPr>
            <w:tcW w:w="1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41,250</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6.00</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3/15/2033</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61,875</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82,913</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7"/>
              </w:rPr>
              <w:t>(2)</w:t>
            </w:r>
          </w:p>
        </w:tc>
        <w:tc>
          <w:tcPr>
            <w:tcW w:w="1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41,250</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8.00</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3/15/2033</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7"/>
              </w:rPr>
              <w:t>(2)</w:t>
            </w:r>
          </w:p>
        </w:tc>
        <w:tc>
          <w:tcPr>
            <w:tcW w:w="1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41,250</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10.00</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3/15/2033</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1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66,500</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89,110</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66,500</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89,110</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1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67,000</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50,000</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67,000</w:t>
            </w:r>
          </w:p>
        </w:tc>
        <w:tc>
          <w:tcPr>
            <w:tcW w:w="0" w:type="dxa"/>
            <w:vAlign w:val="bottom"/>
          </w:tcPr>
          <w:p>
            <w:pPr>
              <w:spacing w:after="0"/>
              <w:rPr>
                <w:sz w:val="1"/>
                <w:szCs w:val="1"/>
                <w:color w:val="auto"/>
              </w:rPr>
            </w:pPr>
          </w:p>
        </w:tc>
      </w:tr>
      <w:tr>
        <w:trPr>
          <w:trHeight w:val="229"/>
        </w:trPr>
        <w:tc>
          <w:tcPr>
            <w:tcW w:w="2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7"/>
              </w:rPr>
              <w:t>(1)</w:t>
            </w:r>
          </w:p>
        </w:tc>
        <w:tc>
          <w:tcPr>
            <w:tcW w:w="1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3.13</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2/25/2027</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7"/>
              </w:rPr>
              <w:t>(1)</w:t>
            </w:r>
          </w:p>
        </w:tc>
        <w:tc>
          <w:tcPr>
            <w:tcW w:w="1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3.13</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2/25/2027</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7"/>
              </w:rPr>
              <w:t>(1)</w:t>
            </w:r>
          </w:p>
        </w:tc>
        <w:tc>
          <w:tcPr>
            <w:tcW w:w="1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3.13</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2/25/2027</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7"/>
              </w:rPr>
              <w:t>(1)</w:t>
            </w:r>
          </w:p>
        </w:tc>
        <w:tc>
          <w:tcPr>
            <w:tcW w:w="1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3.13</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2/28/2027</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7"/>
              </w:rPr>
              <w:t>(1)</w:t>
            </w:r>
          </w:p>
        </w:tc>
        <w:tc>
          <w:tcPr>
            <w:tcW w:w="1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2.74</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4/9/2029</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7"/>
              </w:rPr>
              <w:t>(1)</w:t>
            </w:r>
          </w:p>
        </w:tc>
        <w:tc>
          <w:tcPr>
            <w:tcW w:w="1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2.74</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4/9/2029</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7"/>
              </w:rPr>
              <w:t>(2)</w:t>
            </w:r>
          </w:p>
        </w:tc>
        <w:tc>
          <w:tcPr>
            <w:tcW w:w="1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41,250</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4.90</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3/15/2033</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16,500</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22,110</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1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33,250</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44,555</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33,250</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44,555</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13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33,500</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25,000</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33,500</w:t>
            </w: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3">
            <w:col w:w="840" w:space="420"/>
            <w:col w:w="1680" w:space="80"/>
            <w:col w:w="8220"/>
          </w:cols>
          <w:pgMar w:left="320" w:top="1034"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Gene Foca,</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Senior Vice</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Marketing and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Revenue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3/1/2017</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639,523</w:t>
            </w:r>
          </w:p>
        </w:tc>
        <w:tc>
          <w:tcPr>
            <w:tcW w:w="6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(1)</w:t>
            </w: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3.13</w:t>
            </w: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2/28/2027</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8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8"/>
              </w:rPr>
              <w:t>4/10/2019</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1,029,047</w:t>
            </w:r>
          </w:p>
        </w:tc>
        <w:tc>
          <w:tcPr>
            <w:tcW w:w="6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(1)</w:t>
            </w: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2.74</w:t>
            </w: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4/9/2029</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9"/>
                <w:szCs w:val="19"/>
                <w:color w:val="auto"/>
              </w:rPr>
            </w:pPr>
          </w:p>
        </w:tc>
        <w:tc>
          <w:tcPr>
            <w:tcW w:w="9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8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8"/>
              </w:rPr>
              <w:t>3/16/2023</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229,375</w:t>
            </w:r>
          </w:p>
        </w:tc>
        <w:tc>
          <w:tcPr>
            <w:tcW w:w="6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(2)</w:t>
            </w: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20,625</w:t>
            </w:r>
          </w:p>
        </w:tc>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4.90</w:t>
            </w: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3/15/2033</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16,500</w:t>
            </w:r>
          </w:p>
        </w:tc>
        <w:tc>
          <w:tcPr>
            <w:tcW w:w="4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(2)</w:t>
            </w:r>
          </w:p>
        </w:tc>
        <w:tc>
          <w:tcPr>
            <w:tcW w:w="9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22,110</w:t>
            </w:r>
          </w:p>
        </w:tc>
        <w:tc>
          <w:tcPr>
            <w:tcW w:w="140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8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8"/>
              </w:rPr>
              <w:t>7/11/2024</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9"/>
                <w:szCs w:val="19"/>
                <w:color w:val="auto"/>
              </w:rPr>
            </w:pP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33,250</w:t>
            </w:r>
          </w:p>
        </w:tc>
        <w:tc>
          <w:tcPr>
            <w:tcW w:w="4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(3)</w:t>
            </w:r>
          </w:p>
        </w:tc>
        <w:tc>
          <w:tcPr>
            <w:tcW w:w="9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44,555</w:t>
            </w:r>
          </w:p>
        </w:tc>
        <w:tc>
          <w:tcPr>
            <w:tcW w:w="140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33,250</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44,555</w:t>
            </w:r>
          </w:p>
        </w:tc>
      </w:tr>
      <w:tr>
        <w:trPr>
          <w:trHeight w:val="229"/>
        </w:trPr>
        <w:tc>
          <w:tcPr>
            <w:tcW w:w="8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8"/>
              </w:rPr>
              <w:t>5/29/2025</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9"/>
                <w:szCs w:val="19"/>
                <w:color w:val="auto"/>
              </w:rPr>
            </w:pP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4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(4)</w:t>
            </w:r>
          </w:p>
        </w:tc>
        <w:tc>
          <w:tcPr>
            <w:tcW w:w="9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33,500</w:t>
            </w:r>
          </w:p>
        </w:tc>
        <w:tc>
          <w:tcPr>
            <w:tcW w:w="140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25,000</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33,500</w:t>
            </w:r>
          </w:p>
        </w:tc>
      </w:tr>
    </w:tbl>
    <w:p>
      <w:pPr>
        <w:spacing w:after="0" w:line="200" w:lineRule="exact"/>
        <w:rPr>
          <w:sz w:val="20"/>
          <w:szCs w:val="20"/>
          <w:color w:val="auto"/>
        </w:rPr>
      </w:pPr>
    </w:p>
    <w:p>
      <w:pPr>
        <w:sectPr>
          <w:pgSz w:w="11900" w:h="16838" w:orient="portrait"/>
          <w:cols w:equalWidth="0" w:num="2">
            <w:col w:w="860" w:space="400"/>
            <w:col w:w="9980"/>
          </w:cols>
          <w:pgMar w:left="320" w:top="1034"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234" w:lineRule="exact"/>
        <w:rPr>
          <w:sz w:val="20"/>
          <w:szCs w:val="20"/>
          <w:color w:val="auto"/>
        </w:rPr>
      </w:pPr>
    </w:p>
    <w:p>
      <w:pPr>
        <w:jc w:val="both"/>
        <w:ind w:left="340" w:hanging="332"/>
        <w:spacing w:after="0" w:line="260"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stock option awards vest over four years, with 25% of the total number of shares subject to the option vesting on the first anniversary of the vesting commencement date and the remaining 75% vesting in equal quarterly installments thereafter. In addition, the stock option will fully vest and become fully exercisable upon a Change in Control (as defined in the option agreement) of Getty Images subject to the understanding that the Business Combination did not constitute a change in control for purposes of the option agreement.</w:t>
      </w:r>
    </w:p>
    <w:p>
      <w:pPr>
        <w:spacing w:after="0" w:line="73" w:lineRule="exact"/>
        <w:rPr>
          <w:rFonts w:ascii="Times New Roman" w:cs="Times New Roman" w:eastAsia="Times New Roman" w:hAnsi="Times New Roman"/>
          <w:sz w:val="14"/>
          <w:szCs w:val="14"/>
          <w:color w:val="auto"/>
        </w:rPr>
      </w:pPr>
    </w:p>
    <w:p>
      <w:pPr>
        <w:ind w:left="340" w:right="20" w:hanging="332"/>
        <w:spacing w:after="0" w:line="281"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One third of the stock option awards and RSUs vested on March 20, 2024, with the remaining vesting in substantially equal quarterly installments for the following two years.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type w:val="continuous"/>
        </w:sectPr>
      </w:pPr>
    </w:p>
    <w:bookmarkStart w:id="20" w:name="page21"/>
    <w:bookmarkEnd w:id="20"/>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RSUs vest in four quarterly installments starting March 2026.</w:t>
      </w:r>
    </w:p>
    <w:p>
      <w:pPr>
        <w:spacing w:after="0" w:line="116"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RSUs vest in four quarterly installments starting March 2027.</w:t>
      </w:r>
    </w:p>
    <w:p>
      <w:pPr>
        <w:spacing w:after="0" w:line="116"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Amounts are represented at a market value based upon the closing price of the Class A common stock on December 31, 2025, of $1.34 per share.</w:t>
      </w:r>
    </w:p>
    <w:p>
      <w:pPr>
        <w:spacing w:after="0" w:line="116" w:lineRule="exact"/>
        <w:rPr>
          <w:rFonts w:ascii="Times New Roman" w:cs="Times New Roman" w:eastAsia="Times New Roman" w:hAnsi="Times New Roman"/>
          <w:sz w:val="14"/>
          <w:szCs w:val="14"/>
          <w:color w:val="auto"/>
        </w:rPr>
      </w:pPr>
    </w:p>
    <w:p>
      <w:pPr>
        <w:ind w:left="340" w:hanging="332"/>
        <w:spacing w:after="0" w:line="281"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PSUs from the annual equity awards granted in fiscal years 2024 and 2025 for which the performance criteria have not been established as of December 31, 2025, have been treated as outstanding at target for purposes of this table but are not yet treated as granted under ASC Topic 718.</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161"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Each of the Named Executive Officer’s employment agreements provides for severance payments and benefits upon certain terminations of employment with Getty Images and its affiliates, as described further below. Each Named Executive Officer’s rights with respect to his or her equity participation in Getty Images or its affiliates is governed by the applicable equity documents (as defined in the respective employment agreement) and the Named Executive Officer’s rights with respect to employee benefits will be governed by the documents governing such employee benefits.</w:t>
      </w:r>
    </w:p>
    <w:p>
      <w:pPr>
        <w:spacing w:after="0" w:line="101"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As provided in the applicable employment agreement, upon the termination of a Named Executive Officer’s employment term and his or her employment by us for “cause” or due to his or her resignation without “good reason” (as each such term is defined in his or her respective employment agreement), the Named Executive Officer will be entitled to receive his or her base salary through the date of termination, any annual bonus earned, but unpaid, as of the termination date for the immediately preceding fiscal year, reimbursement for any unreimbursed business expenses that have been properly incurred by him or her prior to the termination date and that are or have been submitted in accordance with the applicable Getty Images policy, and such employees benefits (as defined in his or her employment agreement), if any, that the Named Executive Officer may be entitled under our employee benefit plans, which will not include payment for any unused vacation or paid time off, as applicable, unless required by applicable law (all of the amounts described in this sentence are referred to the “Accrued Rights”).</w:t>
      </w:r>
    </w:p>
    <w:p>
      <w:pPr>
        <w:spacing w:after="0" w:line="122"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Upon the termination of a Named Executive Officer’s employment term and his or her employment due to the Named Executive Officer’s “death” or “disability” (as each such term is defined in his or her respective employment agreement), the Named Executive Officer will be entitled to receive the Accrued Rights and his or her estate will benefit from a term life insurance policy provided by Getty Images and intended to provide a payment of a death benefit equal to the “base severance” (as defined below).</w:t>
      </w:r>
    </w:p>
    <w:p>
      <w:pPr>
        <w:spacing w:after="0" w:line="114"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In the event that a Named Executive Officer’s employment term and his or her employment is terminated by Getty Images without “cause” or by the Named Executive Officer for “good reason” (as each such term is defined in his or her respective employment agreement), the Named Executive Officer will be entitled to receive, in addition to the Accrued Rights, and subject to his or her execution and non-revocation of a release of claims in a form acceptable to Getty Images as provided in his or her employment agreement and continued compliance with the following restrictive covenants set forth in his or her employment agreement:</w:t>
      </w:r>
    </w:p>
    <w:p>
      <w:pPr>
        <w:spacing w:after="0" w:line="74" w:lineRule="exact"/>
        <w:rPr>
          <w:sz w:val="20"/>
          <w:szCs w:val="20"/>
          <w:color w:val="auto"/>
        </w:rPr>
      </w:pPr>
    </w:p>
    <w:p>
      <w:pPr>
        <w:jc w:val="both"/>
        <w:ind w:left="580" w:hanging="168"/>
        <w:spacing w:after="0" w:line="258" w:lineRule="auto"/>
        <w:tabs>
          <w:tab w:leader="none" w:pos="5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totaling in the aggregate (i) the sum of (x) 150% (200% in the case of Mr. Peters) of the Named Executive Officer’s base salary and (y) 150% (200% in the case of Mr. Peters) of the Named Executive Officer’s target annual cash bonus opportunity in respect of the fiscal year that the termination date occurs or (ii) in the case of Mr. Peters, his base salary and target annual cash bonus opportunity for the period from the termination date through the last day of the employment term, if greater than such amount in (i), in each case, payable over a 18-month (24- month in the case of Mr. Peters) period (such amounts, the “Base Severance”); and</w:t>
      </w:r>
    </w:p>
    <w:p>
      <w:pPr>
        <w:spacing w:after="0" w:line="74" w:lineRule="exact"/>
        <w:rPr>
          <w:rFonts w:ascii="Times New Roman" w:cs="Times New Roman" w:eastAsia="Times New Roman" w:hAnsi="Times New Roman"/>
          <w:sz w:val="18"/>
          <w:szCs w:val="18"/>
          <w:color w:val="auto"/>
        </w:rPr>
      </w:pPr>
    </w:p>
    <w:p>
      <w:pPr>
        <w:jc w:val="both"/>
        <w:ind w:left="580" w:hanging="168"/>
        <w:spacing w:after="0" w:line="260" w:lineRule="auto"/>
        <w:tabs>
          <w:tab w:leader="none" w:pos="5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coverage under our group health and welfare plans for a period until the later of 18 months (24 months in the case of Mr. Peters) following the termination date on the same basis (including payment of monthly premiums) as provided by us to senior-level executives (or, a monthly payment in an amount equal to our cost of providing such benefit if this benefit would trigger adverse tax consequences), which will be discontinued if the Named Executive Officer becomes eligible for similar benefits from a successor employer (the “Continued Health Benefits”).</w:t>
      </w:r>
    </w:p>
    <w:p>
      <w:pPr>
        <w:spacing w:after="0" w:line="101" w:lineRule="exact"/>
        <w:rPr>
          <w:sz w:val="20"/>
          <w:szCs w:val="20"/>
          <w:color w:val="auto"/>
        </w:rPr>
      </w:pPr>
    </w:p>
    <w:p>
      <w:pPr>
        <w:jc w:val="both"/>
        <w:ind w:firstLine="647"/>
        <w:spacing w:after="0" w:line="260" w:lineRule="auto"/>
        <w:rPr>
          <w:sz w:val="20"/>
          <w:szCs w:val="20"/>
          <w:color w:val="auto"/>
        </w:rPr>
      </w:pPr>
      <w:r>
        <w:rPr>
          <w:rFonts w:ascii="Times New Roman" w:cs="Times New Roman" w:eastAsia="Times New Roman" w:hAnsi="Times New Roman"/>
          <w:sz w:val="18"/>
          <w:szCs w:val="18"/>
          <w:color w:val="auto"/>
        </w:rPr>
        <w:t>In the event that a Named Executive Officer elects not to extend the employment term of his or her employment agreement, unless terminated earlier, he or she will be entitled to receive the Accrued Rights. In the event we elect not to extend the employment term of a Named Executive Officer’s employment agreement, unless terminated earlier, he or she will be entitled to receive the Accrued Rights and, subject to the Named Executive Officer’s execution and non-revocation of a release of claims in a form acceptable to us as provided in the employment agreement, the Continued Health Benefits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21" w:name="page22"/>
    <w:bookmarkEnd w:id="21"/>
    <w:p>
      <w:pPr>
        <w:ind w:right="1520"/>
        <w:spacing w:after="0" w:line="414" w:lineRule="auto"/>
        <w:rPr>
          <w:sz w:val="20"/>
          <w:szCs w:val="20"/>
          <w:color w:val="auto"/>
        </w:rPr>
      </w:pPr>
      <w:r>
        <w:rPr>
          <w:rFonts w:ascii="Times New Roman" w:cs="Times New Roman" w:eastAsia="Times New Roman" w:hAnsi="Times New Roman"/>
          <w:sz w:val="18"/>
          <w:szCs w:val="18"/>
          <w:color w:val="auto"/>
        </w:rPr>
        <w:t xml:space="preserve">and equal payments totaling in the aggregate the base severance payable over an 18-month (24-month in the case of Mr. Peters) period. </w:t>
      </w:r>
      <w:r>
        <w:rPr>
          <w:rFonts w:ascii="Times New Roman" w:cs="Times New Roman" w:eastAsia="Times New Roman" w:hAnsi="Times New Roman"/>
          <w:sz w:val="18"/>
          <w:szCs w:val="18"/>
          <w:b w:val="1"/>
          <w:bCs w:val="1"/>
          <w:color w:val="auto"/>
        </w:rPr>
        <w:t>Non-Employee Director Compensation</w:t>
      </w:r>
    </w:p>
    <w:p>
      <w:pPr>
        <w:spacing w:after="0" w:line="1" w:lineRule="exact"/>
        <w:rPr>
          <w:sz w:val="20"/>
          <w:szCs w:val="20"/>
          <w:color w:val="auto"/>
        </w:rPr>
      </w:pPr>
    </w:p>
    <w:p>
      <w:pPr>
        <w:jc w:val="both"/>
        <w:ind w:firstLine="647"/>
        <w:spacing w:after="0" w:line="265" w:lineRule="auto"/>
        <w:rPr>
          <w:sz w:val="20"/>
          <w:szCs w:val="20"/>
          <w:color w:val="auto"/>
        </w:rPr>
      </w:pPr>
      <w:r>
        <w:rPr>
          <w:rFonts w:ascii="Times New Roman" w:cs="Times New Roman" w:eastAsia="Times New Roman" w:hAnsi="Times New Roman"/>
          <w:sz w:val="18"/>
          <w:szCs w:val="18"/>
          <w:color w:val="auto"/>
        </w:rPr>
        <w:t>In 2025, four of our non-employee directors received compensation (cash retainers, equity awards, fees or other compensation) for service on our Board of Directors. Our Board of Directors expects to review director compensation periodically to ensure that director compensation remains competitive such that we are able to recruit and retain qualified directors.</w:t>
      </w:r>
    </w:p>
    <w:p>
      <w:pPr>
        <w:spacing w:after="0" w:line="110"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On February 27, 2023, our Board of Directors adopted our Non-Employee Directors Annual Compensation Program designed to align compensation with business objectives and the creation of stockholder value, while enabling Getty Images to attract, retain, incentivize and reward directors who contribute to the long-term success of the Company. Pursuant to this policy, each member of our Board of Directors who is not our employee nor Mark Getty, Chinh Chu, Patrick Maxwell, Brett Watson, or Michael Harris, is eligible to receive the following compensation for his or her service as a member of our Board of Directors:</w:t>
      </w:r>
    </w:p>
    <w:p>
      <w:pPr>
        <w:spacing w:after="0" w:line="72" w:lineRule="exact"/>
        <w:rPr>
          <w:sz w:val="20"/>
          <w:szCs w:val="20"/>
          <w:color w:val="auto"/>
        </w:rPr>
      </w:pPr>
    </w:p>
    <w:p>
      <w:pPr>
        <w:jc w:val="both"/>
        <w:ind w:left="580" w:hanging="168"/>
        <w:spacing w:after="0" w:line="258" w:lineRule="auto"/>
        <w:tabs>
          <w:tab w:leader="none" w:pos="5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Fees</w:t>
      </w:r>
      <w:r>
        <w:rPr>
          <w:rFonts w:ascii="Times New Roman" w:cs="Times New Roman" w:eastAsia="Times New Roman" w:hAnsi="Times New Roman"/>
          <w:sz w:val="18"/>
          <w:szCs w:val="18"/>
          <w:color w:val="auto"/>
        </w:rPr>
        <w:t>. Commencing on July 22, 2022, an annual cash retainer of $40,000 per year. The chairs of the Audit Committee,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and Nominating and Corporate Governance Committee receive cash retainers in the amount of $20,000, $15,000, and $10,000, respectively, for his or her respective committee service as a chair. Members of the Audit Committee, Compensation Committee, and Nominating and Corporate Governance Committee receive cash retainers in the amount of $10,000, $7,500, and $5,000 respectively. All cash fees shall be pro-rated for the director’s time served on our Board of Directors; and</w:t>
      </w:r>
    </w:p>
    <w:p>
      <w:pPr>
        <w:spacing w:after="0" w:line="74" w:lineRule="exact"/>
        <w:rPr>
          <w:rFonts w:ascii="Times New Roman" w:cs="Times New Roman" w:eastAsia="Times New Roman" w:hAnsi="Times New Roman"/>
          <w:sz w:val="18"/>
          <w:szCs w:val="18"/>
          <w:color w:val="auto"/>
        </w:rPr>
      </w:pPr>
    </w:p>
    <w:p>
      <w:pPr>
        <w:jc w:val="both"/>
        <w:ind w:left="580" w:hanging="168"/>
        <w:spacing w:after="0" w:line="261" w:lineRule="auto"/>
        <w:tabs>
          <w:tab w:leader="none" w:pos="57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Eligible directors will receive a grant of RSUs equal to the grant value of $390,000 at the time of grant, with a four-year vesting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director’s continued service on our Board of Directors. For the initial grant, 25% of the RSUs vest on the first anniversary of the date of grant, and the remaining 75% vest in equal quarterly installments thereafter. Directors will receive a new grant every four years. Directors with existing stock options were not issued a new grant at the time of the approval of the program.</w:t>
      </w:r>
    </w:p>
    <w:p>
      <w:pPr>
        <w:spacing w:after="0" w:line="99" w:lineRule="exact"/>
        <w:rPr>
          <w:sz w:val="20"/>
          <w:szCs w:val="20"/>
          <w:color w:val="auto"/>
        </w:rPr>
      </w:pPr>
    </w:p>
    <w:p>
      <w:pPr>
        <w:jc w:val="both"/>
        <w:ind w:firstLine="647"/>
        <w:spacing w:after="0" w:line="265" w:lineRule="auto"/>
        <w:rPr>
          <w:sz w:val="20"/>
          <w:szCs w:val="20"/>
          <w:color w:val="auto"/>
        </w:rPr>
      </w:pPr>
      <w:r>
        <w:rPr>
          <w:rFonts w:ascii="Times New Roman" w:cs="Times New Roman" w:eastAsia="Times New Roman" w:hAnsi="Times New Roman"/>
          <w:sz w:val="18"/>
          <w:szCs w:val="18"/>
          <w:color w:val="auto"/>
        </w:rPr>
        <w:t>Our policy is to reimburse our non-employee directors for reasonable out of pocket expenses incurred that are integrally related to service as a member of our Board of Directors, including travel and lodging expenses related to attendance at meetings or performing other services in their capacities as directors.</w:t>
      </w:r>
    </w:p>
    <w:p>
      <w:pPr>
        <w:spacing w:after="0" w:line="110" w:lineRule="exact"/>
        <w:rPr>
          <w:sz w:val="20"/>
          <w:szCs w:val="20"/>
          <w:color w:val="auto"/>
        </w:rPr>
      </w:pPr>
    </w:p>
    <w:p>
      <w:pPr>
        <w:jc w:val="both"/>
        <w:ind w:firstLine="647"/>
        <w:spacing w:after="0" w:line="281"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earned by or paid to the non-employee members of our Board of Directors during the year ended December 31, 2025.</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82"/>
        </w:trPr>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Total Fees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earned or</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8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 Amount</w:t>
            </w:r>
          </w:p>
        </w:tc>
      </w:tr>
      <w:tr>
        <w:trPr>
          <w:trHeight w:val="265"/>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Borders>
              <w:bottom w:val="single" w:sz="8" w:color="CCEEFF"/>
            </w:tcBorders>
          </w:tcPr>
          <w:p>
            <w:pPr>
              <w:spacing w:after="0"/>
              <w:rPr>
                <w:sz w:val="23"/>
                <w:szCs w:val="23"/>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30"/>
                <w:szCs w:val="30"/>
                <w:b w:val="1"/>
                <w:bCs w:val="1"/>
                <w:color w:val="auto"/>
                <w:w w:val="97"/>
                <w:vertAlign w:val="subscript"/>
              </w:rPr>
              <w:t>($)</w:t>
            </w:r>
            <w:r>
              <w:rPr>
                <w:rFonts w:ascii="Times New Roman" w:cs="Times New Roman" w:eastAsia="Times New Roman" w:hAnsi="Times New Roman"/>
                <w:sz w:val="11"/>
                <w:szCs w:val="11"/>
                <w:b w:val="1"/>
                <w:bCs w:val="1"/>
                <w:color w:val="auto"/>
                <w:w w:val="97"/>
              </w:rPr>
              <w:t>(1)(2)</w:t>
            </w:r>
          </w:p>
        </w:tc>
        <w:tc>
          <w:tcPr>
            <w:tcW w:w="100" w:type="dxa"/>
            <w:vAlign w:val="bottom"/>
            <w:tcBorders>
              <w:bottom w:val="single" w:sz="8" w:color="CCEEFF"/>
            </w:tcBorders>
          </w:tcPr>
          <w:p>
            <w:pPr>
              <w:spacing w:after="0"/>
              <w:rPr>
                <w:sz w:val="23"/>
                <w:szCs w:val="23"/>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Chinh Chu</w:t>
            </w:r>
          </w:p>
        </w:tc>
        <w:tc>
          <w:tcPr>
            <w:tcW w:w="1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Getty</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Harris</w:t>
            </w:r>
          </w:p>
        </w:tc>
        <w:tc>
          <w:tcPr>
            <w:tcW w:w="1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Tracy Knox</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tcPr>
          <w:p>
            <w:pPr>
              <w:spacing w:after="0"/>
              <w:rPr>
                <w:sz w:val="21"/>
                <w:szCs w:val="21"/>
                <w:color w:val="auto"/>
              </w:rPr>
            </w:pP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Maxwell</w:t>
            </w:r>
          </w:p>
        </w:tc>
        <w:tc>
          <w:tcPr>
            <w:tcW w:w="1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Quella</w:t>
            </w:r>
            <w:r>
              <w:rPr>
                <w:rFonts w:ascii="Times New Roman" w:cs="Times New Roman" w:eastAsia="Times New Roman" w:hAnsi="Times New Roman"/>
                <w:sz w:val="23"/>
                <w:szCs w:val="23"/>
                <w:color w:val="auto"/>
                <w:vertAlign w:val="superscript"/>
              </w:rPr>
              <w:t>(3)</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3"/>
                <w:szCs w:val="23"/>
                <w:color w:val="auto"/>
              </w:rPr>
            </w:pP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Hilary Schneider</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w:t>
            </w:r>
          </w:p>
        </w:tc>
      </w:tr>
      <w:tr>
        <w:trPr>
          <w:trHeight w:val="24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Jeffrey Titterton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21"/>
                <w:szCs w:val="21"/>
                <w:color w:val="auto"/>
              </w:rPr>
            </w:pP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Brett Watson</w:t>
            </w: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70" w:lineRule="exact"/>
        <w:rPr>
          <w:sz w:val="20"/>
          <w:szCs w:val="20"/>
          <w:color w:val="auto"/>
        </w:rPr>
      </w:pPr>
    </w:p>
    <w:p>
      <w:pPr>
        <w:jc w:val="both"/>
        <w:ind w:left="340" w:hanging="332"/>
        <w:spacing w:after="0" w:line="265" w:lineRule="auto"/>
        <w:tabs>
          <w:tab w:leader="none" w:pos="4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grant date fair value of the stock awards granted to our non-employee directors, as computed in accordance with FASB ASC Topic 718, excluding estimated forfeitures. See “</w:t>
      </w:r>
      <w:r>
        <w:rPr>
          <w:rFonts w:ascii="Times New Roman" w:cs="Times New Roman" w:eastAsia="Times New Roman" w:hAnsi="Times New Roman"/>
          <w:sz w:val="18"/>
          <w:szCs w:val="18"/>
          <w:i w:val="1"/>
          <w:iCs w:val="1"/>
          <w:color w:val="auto"/>
        </w:rPr>
        <w:t>Note 14 — Equity-Based Compensation</w:t>
      </w:r>
      <w:r>
        <w:rPr>
          <w:rFonts w:ascii="Times New Roman" w:cs="Times New Roman" w:eastAsia="Times New Roman" w:hAnsi="Times New Roman"/>
          <w:sz w:val="18"/>
          <w:szCs w:val="18"/>
          <w:color w:val="auto"/>
        </w:rPr>
        <w:t>’ to our audited consolidated financial statements contained in the Original Form 10-K for the assumptions used in computing the grant date fair value of such awards.</w:t>
      </w:r>
    </w:p>
    <w:p>
      <w:pPr>
        <w:spacing w:after="0" w:line="42" w:lineRule="exact"/>
        <w:rPr>
          <w:rFonts w:ascii="Times New Roman" w:cs="Times New Roman" w:eastAsia="Times New Roman" w:hAnsi="Times New Roman"/>
          <w:sz w:val="18"/>
          <w:szCs w:val="18"/>
          <w:color w:val="auto"/>
        </w:rPr>
      </w:pPr>
    </w:p>
    <w:p>
      <w:pPr>
        <w:ind w:left="340" w:hanging="332"/>
        <w:spacing w:after="0" w:line="281" w:lineRule="auto"/>
        <w:tabs>
          <w:tab w:leader="none" w:pos="27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presents the number of outstanding and unexercised stock option awards and the number of outstanding RSUs held by each of the non-employee directors as of December 31,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James Quella resigned from our Board of Directors on April 1, 2026.</w:t>
            </w: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665"/>
        </w:trPr>
        <w:tc>
          <w:tcPr>
            <w:tcW w:w="5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2640" w:type="dxa"/>
            <w:vAlign w:val="bottom"/>
          </w:tcPr>
          <w:p>
            <w:pPr>
              <w:spacing w:after="0"/>
              <w:rPr>
                <w:sz w:val="24"/>
                <w:szCs w:val="24"/>
                <w:color w:val="auto"/>
              </w:rPr>
            </w:pPr>
          </w:p>
        </w:tc>
      </w:tr>
      <w:tr>
        <w:trPr>
          <w:trHeight w:val="216"/>
        </w:trPr>
        <w:tc>
          <w:tcPr>
            <w:tcW w:w="5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Subject to Outstanding</w:t>
            </w:r>
          </w:p>
        </w:tc>
        <w:tc>
          <w:tcPr>
            <w:tcW w:w="2640" w:type="dxa"/>
            <w:vAlign w:val="bottom"/>
          </w:tcPr>
          <w:p>
            <w:pPr>
              <w:spacing w:after="0"/>
              <w:rPr>
                <w:sz w:val="18"/>
                <w:szCs w:val="18"/>
                <w:color w:val="auto"/>
              </w:rPr>
            </w:pPr>
          </w:p>
        </w:tc>
      </w:tr>
      <w:tr>
        <w:trPr>
          <w:trHeight w:val="238"/>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6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Number of RSUs</w:t>
            </w:r>
          </w:p>
        </w:tc>
      </w:tr>
      <w:tr>
        <w:trPr>
          <w:trHeight w:val="27"/>
        </w:trPr>
        <w:tc>
          <w:tcPr>
            <w:tcW w:w="5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3"/>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Tracy Knox</w:t>
            </w:r>
          </w:p>
        </w:tc>
        <w:tc>
          <w:tcPr>
            <w:tcW w:w="2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106,268</w:t>
            </w:r>
          </w:p>
        </w:tc>
      </w:tr>
      <w:tr>
        <w:trPr>
          <w:trHeight w:val="270"/>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Quella</w:t>
            </w:r>
            <w:r>
              <w:rPr>
                <w:rFonts w:ascii="Times New Roman" w:cs="Times New Roman" w:eastAsia="Times New Roman" w:hAnsi="Times New Roman"/>
                <w:sz w:val="23"/>
                <w:szCs w:val="23"/>
                <w:color w:val="auto"/>
                <w:vertAlign w:val="superscript"/>
              </w:rPr>
              <w:t>(3)</w:t>
            </w:r>
          </w:p>
        </w:tc>
        <w:tc>
          <w:tcPr>
            <w:tcW w:w="2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38,086</w:t>
            </w:r>
          </w:p>
        </w:tc>
      </w:tr>
      <w:tr>
        <w:trPr>
          <w:trHeight w:val="250"/>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Hilary Schneider</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213,175</w:t>
            </w:r>
          </w:p>
        </w:tc>
        <w:tc>
          <w:tcPr>
            <w:tcW w:w="8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Jeffrey Titterton</w:t>
            </w:r>
          </w:p>
        </w:tc>
        <w:tc>
          <w:tcPr>
            <w:tcW w:w="2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38,086</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61" w:lineRule="exact"/>
        <w:rPr>
          <w:sz w:val="20"/>
          <w:szCs w:val="20"/>
          <w:color w:val="auto"/>
        </w:rPr>
      </w:pPr>
    </w:p>
    <w:p>
      <w:pPr>
        <w:ind w:right="20" w:firstLine="405"/>
        <w:spacing w:after="0" w:line="281" w:lineRule="auto"/>
        <w:rPr>
          <w:sz w:val="20"/>
          <w:szCs w:val="20"/>
          <w:color w:val="auto"/>
        </w:rPr>
      </w:pPr>
      <w:r>
        <w:rPr>
          <w:rFonts w:ascii="Times New Roman" w:cs="Times New Roman" w:eastAsia="Times New Roman" w:hAnsi="Times New Roman"/>
          <w:sz w:val="18"/>
          <w:szCs w:val="18"/>
          <w:color w:val="auto"/>
        </w:rPr>
        <w:t>The table below provides information about our shares of Class A common stock that may be issued upon the exercise of options and RSUs under all of our existing equity compensation plans as of December 31,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5"/>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remaining</w:t>
            </w:r>
          </w:p>
        </w:tc>
      </w:tr>
      <w:tr>
        <w:trPr>
          <w:trHeight w:val="175"/>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securities to be</w:t>
            </w: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available for future</w:t>
            </w:r>
          </w:p>
        </w:tc>
      </w:tr>
      <w:tr>
        <w:trPr>
          <w:trHeight w:val="162"/>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issued upon exercise</w:t>
            </w:r>
          </w:p>
        </w:tc>
        <w:tc>
          <w:tcPr>
            <w:tcW w:w="220" w:type="dxa"/>
            <w:vAlign w:val="bottom"/>
          </w:tcPr>
          <w:p>
            <w:pPr>
              <w:spacing w:after="0"/>
              <w:rPr>
                <w:sz w:val="14"/>
                <w:szCs w:val="14"/>
                <w:color w:val="auto"/>
              </w:rPr>
            </w:pPr>
          </w:p>
        </w:tc>
        <w:tc>
          <w:tcPr>
            <w:tcW w:w="20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issuance under equity</w:t>
            </w:r>
          </w:p>
        </w:tc>
      </w:tr>
      <w:tr>
        <w:trPr>
          <w:trHeight w:val="175"/>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of outstanding</w:t>
            </w:r>
          </w:p>
        </w:tc>
        <w:tc>
          <w:tcPr>
            <w:tcW w:w="220" w:type="dxa"/>
            <w:vAlign w:val="bottom"/>
          </w:tcPr>
          <w:p>
            <w:pPr>
              <w:spacing w:after="0"/>
              <w:rPr>
                <w:sz w:val="15"/>
                <w:szCs w:val="15"/>
                <w:color w:val="auto"/>
              </w:rPr>
            </w:pPr>
          </w:p>
        </w:tc>
        <w:tc>
          <w:tcPr>
            <w:tcW w:w="20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plans</w:t>
            </w:r>
          </w:p>
        </w:tc>
      </w:tr>
      <w:tr>
        <w:trPr>
          <w:trHeight w:val="175"/>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220" w:type="dxa"/>
            <w:vAlign w:val="bottom"/>
          </w:tcPr>
          <w:p>
            <w:pPr>
              <w:spacing w:after="0"/>
              <w:rPr>
                <w:sz w:val="15"/>
                <w:szCs w:val="15"/>
                <w:color w:val="auto"/>
              </w:rPr>
            </w:pPr>
          </w:p>
        </w:tc>
        <w:tc>
          <w:tcPr>
            <w:tcW w:w="20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(excluding securities</w:t>
            </w:r>
          </w:p>
        </w:tc>
      </w:tr>
      <w:tr>
        <w:trPr>
          <w:trHeight w:val="175"/>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20" w:type="dxa"/>
            <w:vAlign w:val="bottom"/>
          </w:tcPr>
          <w:p>
            <w:pPr>
              <w:spacing w:after="0"/>
              <w:rPr>
                <w:sz w:val="15"/>
                <w:szCs w:val="15"/>
                <w:color w:val="auto"/>
              </w:rPr>
            </w:pPr>
          </w:p>
        </w:tc>
        <w:tc>
          <w:tcPr>
            <w:tcW w:w="20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r>
      <w:tr>
        <w:trPr>
          <w:trHeight w:val="175"/>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188"/>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w:t>
            </w:r>
          </w:p>
        </w:tc>
        <w:tc>
          <w:tcPr>
            <w:tcW w:w="220" w:type="dxa"/>
            <w:vAlign w:val="bottom"/>
          </w:tcPr>
          <w:p>
            <w:pPr>
              <w:spacing w:after="0"/>
              <w:rPr>
                <w:sz w:val="16"/>
                <w:szCs w:val="16"/>
                <w:color w:val="auto"/>
              </w:rPr>
            </w:pPr>
          </w:p>
        </w:tc>
        <w:tc>
          <w:tcPr>
            <w:tcW w:w="20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r>
      <w:tr>
        <w:trPr>
          <w:trHeight w:val="39"/>
        </w:trPr>
        <w:tc>
          <w:tcPr>
            <w:tcW w:w="4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r>
      <w:tr>
        <w:trPr>
          <w:trHeight w:val="214"/>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compensation plans approved by security</w:t>
            </w:r>
          </w:p>
        </w:tc>
        <w:tc>
          <w:tcPr>
            <w:tcW w:w="1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245"/>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holders:</w:t>
            </w:r>
          </w:p>
        </w:tc>
        <w:tc>
          <w:tcPr>
            <w:tcW w:w="1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 Equity Incentive Plan</w:t>
            </w:r>
          </w:p>
        </w:tc>
        <w:tc>
          <w:tcPr>
            <w:tcW w:w="2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34,534,945 </w:t>
            </w:r>
            <w:r>
              <w:rPr>
                <w:rFonts w:ascii="Times New Roman" w:cs="Times New Roman" w:eastAsia="Times New Roman" w:hAnsi="Times New Roman"/>
                <w:sz w:val="11"/>
                <w:szCs w:val="11"/>
                <w:color w:val="auto"/>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3.50 </w:t>
            </w:r>
            <w:r>
              <w:rPr>
                <w:rFonts w:ascii="Times New Roman" w:cs="Times New Roman" w:eastAsia="Times New Roman" w:hAnsi="Times New Roman"/>
                <w:sz w:val="11"/>
                <w:szCs w:val="11"/>
                <w:color w:val="auto"/>
              </w:rPr>
              <w:t>(2)</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2,005,612</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Employee Share Purchase Plan</w:t>
            </w:r>
          </w:p>
        </w:tc>
        <w:tc>
          <w:tcPr>
            <w:tcW w:w="22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1,819,346</w:t>
            </w:r>
          </w:p>
        </w:tc>
      </w:tr>
      <w:tr>
        <w:trPr>
          <w:trHeight w:val="24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 Earn Out Plan</w:t>
            </w:r>
          </w:p>
        </w:tc>
        <w:tc>
          <w:tcPr>
            <w:tcW w:w="2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20,856</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19"/>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compensation plans not approved by security</w:t>
            </w:r>
          </w:p>
        </w:tc>
        <w:tc>
          <w:tcPr>
            <w:tcW w:w="1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r>
      <w:tr>
        <w:trPr>
          <w:trHeight w:val="266"/>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23"/>
                <w:szCs w:val="23"/>
                <w:b w:val="1"/>
                <w:bCs w:val="1"/>
                <w:color w:val="auto"/>
                <w:vertAlign w:val="superscript"/>
              </w:rPr>
              <w:t>(3)</w:t>
            </w:r>
          </w:p>
        </w:tc>
        <w:tc>
          <w:tcPr>
            <w:tcW w:w="2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spacing w:after="0"/>
              <w:rPr>
                <w:sz w:val="23"/>
                <w:szCs w:val="23"/>
                <w:color w:val="auto"/>
              </w:rPr>
            </w:pPr>
          </w:p>
        </w:tc>
        <w:tc>
          <w:tcPr>
            <w:tcW w:w="2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N/A</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487"/>
        </w:trPr>
        <w:tc>
          <w:tcPr>
            <w:tcW w:w="43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ind w:left="340" w:right="120" w:hanging="332"/>
        <w:spacing w:after="0" w:line="242"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subject to outstanding awards granted, of which (i) 9,956,479 shares of Class A common stock are subject to outstanding RSUs and PSUs and (ii) 24,578,466 shares of Class A common stock are subject to outstanding stock options.</w:t>
      </w:r>
    </w:p>
    <w:p>
      <w:pPr>
        <w:spacing w:after="0" w:line="88" w:lineRule="exact"/>
        <w:rPr>
          <w:rFonts w:ascii="Times New Roman" w:cs="Times New Roman" w:eastAsia="Times New Roman" w:hAnsi="Times New Roman"/>
          <w:sz w:val="18"/>
          <w:szCs w:val="18"/>
          <w:color w:val="auto"/>
        </w:rPr>
      </w:pPr>
    </w:p>
    <w:p>
      <w:pPr>
        <w:ind w:left="340" w:right="260" w:hanging="332"/>
        <w:spacing w:after="0" w:line="281"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is calculated based solely on the exercise prices of the outstanding stock options and does not reflect the shares that will be issued upon the vesting of outstanding awards of restricted shares or RSUs and PSUs, which have no exercise price.</w:t>
      </w:r>
    </w:p>
    <w:p>
      <w:pPr>
        <w:spacing w:after="0" w:line="54" w:lineRule="exact"/>
        <w:rPr>
          <w:rFonts w:ascii="Times New Roman" w:cs="Times New Roman" w:eastAsia="Times New Roman" w:hAnsi="Times New Roman"/>
          <w:sz w:val="18"/>
          <w:szCs w:val="18"/>
          <w:color w:val="auto"/>
        </w:rPr>
      </w:pPr>
    </w:p>
    <w:p>
      <w:pPr>
        <w:ind w:left="340" w:hanging="332"/>
        <w:spacing w:after="0" w:line="281" w:lineRule="auto"/>
        <w:tabs>
          <w:tab w:leader="none" w:pos="3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there were no equity compensation plans not approved by security holders under which equity securities of the Company were authorized for issuance.</w:t>
      </w:r>
    </w:p>
    <w:p>
      <w:pPr>
        <w:spacing w:after="0" w:line="1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4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April 13, 2026, the number of shares of our Class A common stock beneficially owned by each director, NEO, all directors and executive officers as a group, and each person or entity we know to be the beneficial owner of more than 5% of our Class A common stock.</w:t>
      </w:r>
    </w:p>
    <w:p>
      <w:pPr>
        <w:spacing w:after="0" w:line="9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accordance with the rules of the SEC, beneficial ownership includes voting or investment power with respect to securities and includes the shares of Class A common stock issuable pursuant to options and warrants that are exercisable or settled within 60 days of the date of this table. Shares of Class A common stock issuable pursuant to options and warrants are deemed outstanding for computing the percentage of the class beneficially owned by the person holding such securities but are not deemed outstanding for computing the percentage of the class beneficially owned by any other person. Except as otherwise indicated, all share ownership is as of April 13, 2026 and the percentage of beneficial ownership is based on 418,959,244 shares of Class A common stock outstanding. Unless otherwise indicated, we believe</w:t>
      </w:r>
    </w:p>
    <w:p>
      <w:pPr>
        <w:sectPr>
          <w:pgSz w:w="11900" w:h="16838" w:orient="portrait"/>
          <w:cols w:equalWidth="0" w:num="1">
            <w:col w:w="11240"/>
          </w:cols>
          <w:pgMar w:left="320" w:top="10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type w:val="continuous"/>
        </w:sectPr>
      </w:pPr>
    </w:p>
    <w:bookmarkStart w:id="23" w:name="page24"/>
    <w:bookmarkEnd w:id="23"/>
    <w:p>
      <w:pPr>
        <w:spacing w:after="0" w:line="281" w:lineRule="auto"/>
        <w:rPr>
          <w:sz w:val="20"/>
          <w:szCs w:val="20"/>
          <w:color w:val="auto"/>
        </w:rPr>
      </w:pPr>
      <w:r>
        <w:rPr>
          <w:rFonts w:ascii="Times New Roman" w:cs="Times New Roman" w:eastAsia="Times New Roman" w:hAnsi="Times New Roman"/>
          <w:sz w:val="18"/>
          <w:szCs w:val="18"/>
          <w:color w:val="auto"/>
        </w:rPr>
        <w:t>that all persons named in the table below have sole voting and investment power with respect to all shares of Class A common stock beneficially owned by them.</w:t>
      </w:r>
    </w:p>
    <w:p>
      <w:pPr>
        <w:spacing w:after="0" w:line="82" w:lineRule="exact"/>
        <w:rPr>
          <w:sz w:val="20"/>
          <w:szCs w:val="20"/>
          <w:color w:val="auto"/>
        </w:rPr>
      </w:pPr>
    </w:p>
    <w:p>
      <w:pPr>
        <w:ind w:right="20" w:firstLine="647"/>
        <w:spacing w:after="0" w:line="281" w:lineRule="auto"/>
        <w:rPr>
          <w:sz w:val="20"/>
          <w:szCs w:val="20"/>
          <w:color w:val="auto"/>
        </w:rPr>
      </w:pPr>
      <w:r>
        <w:rPr>
          <w:rFonts w:ascii="Times New Roman" w:cs="Times New Roman" w:eastAsia="Times New Roman" w:hAnsi="Times New Roman"/>
          <w:sz w:val="18"/>
          <w:szCs w:val="18"/>
          <w:color w:val="auto"/>
        </w:rPr>
        <w:t>The business address of each beneficial owner is c/o Getty Images Holdings, Inc., 605 5th Ave. S. Suite 400, Seattle, WA 98104, unless otherwise indicated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20" w:type="dxa"/>
            <w:vAlign w:val="bottom"/>
          </w:tcPr>
          <w:p>
            <w:pPr>
              <w:spacing w:after="0"/>
              <w:rPr>
                <w:sz w:val="15"/>
                <w:szCs w:val="15"/>
                <w:color w:val="auto"/>
              </w:rPr>
            </w:pPr>
          </w:p>
        </w:tc>
      </w:tr>
      <w:tr>
        <w:trPr>
          <w:trHeight w:val="175"/>
        </w:trPr>
        <w:tc>
          <w:tcPr>
            <w:tcW w:w="7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of Class</w:t>
            </w:r>
          </w:p>
        </w:tc>
        <w:tc>
          <w:tcPr>
            <w:tcW w:w="1620" w:type="dxa"/>
            <w:vAlign w:val="bottom"/>
          </w:tcPr>
          <w:p>
            <w:pPr>
              <w:spacing w:after="0"/>
              <w:rPr>
                <w:sz w:val="15"/>
                <w:szCs w:val="15"/>
                <w:color w:val="auto"/>
              </w:rPr>
            </w:pPr>
          </w:p>
        </w:tc>
      </w:tr>
      <w:tr>
        <w:trPr>
          <w:trHeight w:val="162"/>
        </w:trPr>
        <w:tc>
          <w:tcPr>
            <w:tcW w:w="7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 Common</w:t>
            </w:r>
          </w:p>
        </w:tc>
        <w:tc>
          <w:tcPr>
            <w:tcW w:w="1620" w:type="dxa"/>
            <w:vAlign w:val="bottom"/>
          </w:tcPr>
          <w:p>
            <w:pPr>
              <w:spacing w:after="0"/>
              <w:rPr>
                <w:sz w:val="14"/>
                <w:szCs w:val="14"/>
                <w:color w:val="auto"/>
              </w:rPr>
            </w:pPr>
          </w:p>
        </w:tc>
      </w:tr>
      <w:tr>
        <w:trPr>
          <w:trHeight w:val="188"/>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 (#)</w:t>
            </w:r>
          </w:p>
        </w:tc>
        <w:tc>
          <w:tcPr>
            <w:tcW w:w="162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39"/>
        </w:trPr>
        <w:tc>
          <w:tcPr>
            <w:tcW w:w="7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43"/>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70"/>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Getty</w:t>
            </w:r>
            <w:r>
              <w:rPr>
                <w:rFonts w:ascii="Times New Roman" w:cs="Times New Roman" w:eastAsia="Times New Roman" w:hAnsi="Times New Roman"/>
                <w:sz w:val="23"/>
                <w:szCs w:val="23"/>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13,347,502</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Tracy Knox</w:t>
            </w:r>
            <w:r>
              <w:rPr>
                <w:rFonts w:ascii="Times New Roman" w:cs="Times New Roman" w:eastAsia="Times New Roman" w:hAnsi="Times New Roman"/>
                <w:sz w:val="23"/>
                <w:szCs w:val="23"/>
                <w:color w:val="auto"/>
                <w:vertAlign w:val="superscript"/>
              </w:rPr>
              <w:t>(2)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46,492</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Patrick Maxwell</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Hilary Schneider</w:t>
            </w:r>
            <w:r>
              <w:rPr>
                <w:rFonts w:ascii="Times New Roman" w:cs="Times New Roman" w:eastAsia="Times New Roman" w:hAnsi="Times New Roman"/>
                <w:sz w:val="23"/>
                <w:szCs w:val="23"/>
                <w:color w:val="auto"/>
                <w:vertAlign w:val="superscript"/>
              </w:rPr>
              <w:t>(3)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125,866</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Craig Peters</w:t>
            </w:r>
            <w:r>
              <w:rPr>
                <w:rFonts w:ascii="Times New Roman" w:cs="Times New Roman" w:eastAsia="Times New Roman" w:hAnsi="Times New Roman"/>
                <w:sz w:val="23"/>
                <w:szCs w:val="23"/>
                <w:color w:val="auto"/>
                <w:vertAlign w:val="superscript"/>
              </w:rPr>
              <w:t>(4)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2,459,416</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Brett Watson</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Chinh Chu</w:t>
            </w:r>
            <w:r>
              <w:rPr>
                <w:rFonts w:ascii="Times New Roman" w:cs="Times New Roman" w:eastAsia="Times New Roman" w:hAnsi="Times New Roman"/>
                <w:sz w:val="23"/>
                <w:szCs w:val="23"/>
                <w:color w:val="auto"/>
                <w:vertAlign w:val="superscript"/>
              </w:rPr>
              <w:t>(5)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17,646,607</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0"/>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Harris</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Jeffrey Titterton</w:t>
            </w:r>
            <w:r>
              <w:rPr>
                <w:rFonts w:ascii="Times New Roman" w:cs="Times New Roman" w:eastAsia="Times New Roman" w:hAnsi="Times New Roman"/>
                <w:sz w:val="23"/>
                <w:szCs w:val="23"/>
                <w:color w:val="auto"/>
                <w:vertAlign w:val="superscript"/>
              </w:rPr>
              <w:t>(6)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61,889</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 Foca</w:t>
            </w:r>
            <w:r>
              <w:rPr>
                <w:rFonts w:ascii="Times New Roman" w:cs="Times New Roman" w:eastAsia="Times New Roman" w:hAnsi="Times New Roman"/>
                <w:sz w:val="23"/>
                <w:szCs w:val="23"/>
                <w:color w:val="auto"/>
                <w:vertAlign w:val="superscript"/>
              </w:rPr>
              <w:t>(7)</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808,666</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Nate Gandert</w:t>
            </w:r>
            <w:r>
              <w:rPr>
                <w:rFonts w:ascii="Times New Roman" w:cs="Times New Roman" w:eastAsia="Times New Roman" w:hAnsi="Times New Roman"/>
                <w:sz w:val="23"/>
                <w:szCs w:val="23"/>
                <w:color w:val="auto"/>
                <w:vertAlign w:val="superscript"/>
              </w:rPr>
              <w:t>(8)</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1,071,428</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directors and executive officers as a group (21 total)</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38,927,763</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 of the Company</w:t>
            </w: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r>
      <w:tr>
        <w:trPr>
          <w:trHeight w:val="27"/>
        </w:trPr>
        <w:tc>
          <w:tcPr>
            <w:tcW w:w="7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Getty Family Stockholders</w:t>
            </w:r>
            <w:r>
              <w:rPr>
                <w:rFonts w:ascii="Times New Roman" w:cs="Times New Roman" w:eastAsia="Times New Roman" w:hAnsi="Times New Roman"/>
                <w:sz w:val="23"/>
                <w:szCs w:val="23"/>
                <w:color w:val="auto"/>
                <w:vertAlign w:val="superscript"/>
              </w:rPr>
              <w:t>(9)</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191,374,006</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311"/>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KED Icon Holdings, LLC</w:t>
            </w:r>
            <w:r>
              <w:rPr>
                <w:rFonts w:ascii="Times New Roman" w:cs="Times New Roman" w:eastAsia="Times New Roman" w:hAnsi="Times New Roman"/>
                <w:sz w:val="23"/>
                <w:szCs w:val="23"/>
                <w:color w:val="auto"/>
                <w:vertAlign w:val="superscript"/>
              </w:rPr>
              <w:t>(10)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115,259,246</w:t>
            </w:r>
          </w:p>
        </w:tc>
        <w:tc>
          <w:tcPr>
            <w:tcW w:w="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118"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122" w:lineRule="exact"/>
        <w:rPr>
          <w:sz w:val="20"/>
          <w:szCs w:val="20"/>
          <w:color w:val="auto"/>
        </w:rPr>
      </w:pPr>
    </w:p>
    <w:p>
      <w:pPr>
        <w:jc w:val="both"/>
        <w:ind w:left="340" w:hanging="332"/>
        <w:spacing w:after="0" w:line="256" w:lineRule="auto"/>
        <w:tabs>
          <w:tab w:leader="none" w:pos="3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shown consist of (i) 7,794,004 shares of Class A common stock held by Mark Getty and (ii) (a) 5,089,413 shares of Class A common stock to be held by The October 1993 Trust and (b) 464,085 shares of Class A common stock held by The Options Settlement, which shares Mr. Getty may be deemed to beneficially own by virtue of his indirect ownership in such entities. Mr. Getty is one of three directors of Getty Investments and therefore he may be deemed to share voting and investment power over the shares held by Getty Investments. The shares of Getty Images common stock held by The October 1993 Trust are pledged to the Cheyne Walk Trust (see footnote 10 below) in respect of a guarantee it provides against certain credit facilities.</w:t>
      </w:r>
    </w:p>
    <w:p>
      <w:pPr>
        <w:spacing w:after="0" w:line="7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shown consist of 46,492 shares of Class A common stock.</w:t>
      </w:r>
    </w:p>
    <w:p>
      <w:pPr>
        <w:spacing w:after="0" w:line="116" w:lineRule="exact"/>
        <w:rPr>
          <w:rFonts w:ascii="Times New Roman" w:cs="Times New Roman" w:eastAsia="Times New Roman" w:hAnsi="Times New Roman"/>
          <w:sz w:val="18"/>
          <w:szCs w:val="18"/>
          <w:color w:val="auto"/>
        </w:rPr>
      </w:pPr>
    </w:p>
    <w:p>
      <w:pPr>
        <w:ind w:left="340" w:hanging="332"/>
        <w:spacing w:after="0" w:line="281" w:lineRule="auto"/>
        <w:tabs>
          <w:tab w:leader="none" w:pos="3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shown consist of 49,549 shares of Class A common stock and 76,317 shares of Class A common stock issuable upon exercise of vested options.</w:t>
      </w:r>
    </w:p>
    <w:p>
      <w:pPr>
        <w:spacing w:after="0" w:line="54" w:lineRule="exact"/>
        <w:rPr>
          <w:rFonts w:ascii="Times New Roman" w:cs="Times New Roman" w:eastAsia="Times New Roman" w:hAnsi="Times New Roman"/>
          <w:sz w:val="18"/>
          <w:szCs w:val="18"/>
          <w:color w:val="auto"/>
        </w:rPr>
      </w:pPr>
    </w:p>
    <w:p>
      <w:pPr>
        <w:ind w:left="340" w:hanging="332"/>
        <w:spacing w:after="0" w:line="281" w:lineRule="auto"/>
        <w:tabs>
          <w:tab w:leader="none" w:pos="3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shown consist of 1,189,673 shares of Class A common stock and 1,269,743 shares of Class A common stock issuable upon exercise of vested options.</w:t>
      </w:r>
    </w:p>
    <w:p>
      <w:pPr>
        <w:spacing w:after="0" w:line="54" w:lineRule="exact"/>
        <w:rPr>
          <w:rFonts w:ascii="Times New Roman" w:cs="Times New Roman" w:eastAsia="Times New Roman" w:hAnsi="Times New Roman"/>
          <w:sz w:val="18"/>
          <w:szCs w:val="18"/>
          <w:color w:val="auto"/>
        </w:rPr>
      </w:pPr>
    </w:p>
    <w:p>
      <w:pPr>
        <w:jc w:val="both"/>
        <w:ind w:left="340" w:hanging="332"/>
        <w:spacing w:after="0" w:line="265" w:lineRule="auto"/>
        <w:tabs>
          <w:tab w:leader="none" w:pos="3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shown consist of (i) 5,762,560 shares of Class A common stock held by CC NB Sponsor 2 Holdings LLC, (ii) 9,706,670 shares of Class A common stock held by CC Capital SP, LP and (iii) 2,177,377 shares of Class A common stock held by CC NBOKS Holdings LLC. Mr. Chu is deemed to be the beneficial owner of such shares due to his control of these entities.</w:t>
      </w:r>
    </w:p>
    <w:p>
      <w:pPr>
        <w:spacing w:after="0" w:line="6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shown consist of 61,889 shares of Class A common stock.</w:t>
      </w:r>
    </w:p>
    <w:p>
      <w:pPr>
        <w:spacing w:after="0" w:line="116" w:lineRule="exact"/>
        <w:rPr>
          <w:rFonts w:ascii="Times New Roman" w:cs="Times New Roman" w:eastAsia="Times New Roman" w:hAnsi="Times New Roman"/>
          <w:sz w:val="18"/>
          <w:szCs w:val="18"/>
          <w:color w:val="auto"/>
        </w:rPr>
      </w:pPr>
    </w:p>
    <w:p>
      <w:pPr>
        <w:ind w:left="340" w:hanging="332"/>
        <w:spacing w:after="0" w:line="281" w:lineRule="auto"/>
        <w:tabs>
          <w:tab w:leader="none" w:pos="3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shown consist of 457,713 shares of Class A common stock and 350,953 shares of Class A common stock issuable upon exercise of vested options.</w:t>
      </w:r>
    </w:p>
    <w:p>
      <w:pPr>
        <w:spacing w:after="0" w:line="54" w:lineRule="exact"/>
        <w:rPr>
          <w:rFonts w:ascii="Times New Roman" w:cs="Times New Roman" w:eastAsia="Times New Roman" w:hAnsi="Times New Roman"/>
          <w:sz w:val="18"/>
          <w:szCs w:val="18"/>
          <w:color w:val="auto"/>
        </w:rPr>
      </w:pPr>
    </w:p>
    <w:p>
      <w:pPr>
        <w:ind w:left="340" w:hanging="332"/>
        <w:spacing w:after="0" w:line="281" w:lineRule="auto"/>
        <w:tabs>
          <w:tab w:leader="none" w:pos="3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shown consist of (i) 540,304 shares of Class A common stock and 531,124 shares of Class A common stock issuable upon exercise of vested options.</w:t>
      </w:r>
    </w:p>
    <w:p>
      <w:pPr>
        <w:sectPr>
          <w:pgSz w:w="11900" w:h="16838" w:orient="portrait"/>
          <w:cols w:equalWidth="0" w:num="1">
            <w:col w:w="11240"/>
          </w:cols>
          <w:pgMar w:left="320" w:top="1079"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type w:val="continuous"/>
        </w:sectPr>
      </w:pPr>
    </w:p>
    <w:bookmarkStart w:id="24" w:name="page25"/>
    <w:bookmarkEnd w:id="24"/>
    <w:p>
      <w:pPr>
        <w:jc w:val="both"/>
        <w:ind w:left="340" w:hanging="332"/>
        <w:spacing w:after="0" w:line="255"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shown consist of (i) 178,026,504 shares of Class A common stock held by Getty Investments, (ii) 5,089,413 shares of Class A common stock held by The October 1993 Trust, (iii) 464,085 shares of Class A common stock held by The Options Settlement, and (iv) 7,794,004 shares of Class A common stock held by Mark Getty (Getty Investments, The October 1993 Trust, The Options Settlement and Mr. Getty, collectively, the “Getty Family Stockholders”). The Cheyne Walk Trust is the sole owner of Cheyne Walk Master Fund 2 LP, which is the majority owner of Getty Investments, and the Cheyne Walk Trust may be deemed to have indirect beneficial ownership of Getty Investments’ 178,026,504 shares of Class A common stock. According to a Schedule 13D filed with the SEC on January 8, 2025, the business address of Getty Investments, the Cheyne Walk Trust and Cheyne Walk Master Fund 2 LP is 5390 Kietzke Lane, Suite 202, Reno, Nevada 89511.</w:t>
      </w:r>
    </w:p>
    <w:p>
      <w:pPr>
        <w:spacing w:after="0" w:line="78"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8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shown consist of 115,259,246 shares of Class A Common Stock held by Wood River Capital, LLC as the nominee of KED Icon Holdings, LLC (“KED Icon”). According to a Schedule 13D filed with the SEC on January 2, 2026 and Form 3 filed with the SEC on January 2, 2026, KED Icon is beneficially owned by KED Holdings, LP (“KED Holdings”), KED Holdings is beneficially owned by Koch Equity Development LLC (“Koch Equity”) (and controlled by KED GP, LLC (“KED GP”), which is also beneficially owned by Koch Equity), Koch Equity is beneficially owned by Koch Investments Group, LLC (“KIG”), KIG is beneficially owned by Koch Investments Group Holdings, LLC (“KIGH”), KIGH is beneficially owned by Koch Companies, LLC (“KCLLC”), and KCLLC is beneficially owned by Koch, Inc. The addresses of the principal office and principal business is 4111 East 37th Street North, Wichita, Kansas 67220. In each case by means of ownership of all voting equity instruments.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Authorized for Issuance Under Equity Compensation Plans</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11. Executive Compensation—Securities Authorized for Issuance Under Equity Compensation Plans</w:t>
      </w:r>
      <w:r>
        <w:rPr>
          <w:rFonts w:ascii="Times New Roman" w:cs="Times New Roman" w:eastAsia="Times New Roman" w:hAnsi="Times New Roman"/>
          <w:sz w:val="18"/>
          <w:szCs w:val="18"/>
          <w:color w:val="auto"/>
        </w:rPr>
        <w:t>” for more information.</w:t>
      </w:r>
    </w:p>
    <w:p>
      <w:pPr>
        <w:spacing w:after="0" w:line="2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40" w:lineRule="exact"/>
        <w:rPr>
          <w:sz w:val="20"/>
          <w:szCs w:val="20"/>
          <w:color w:val="auto"/>
        </w:rPr>
      </w:pPr>
    </w:p>
    <w:p>
      <w:pPr>
        <w:ind w:firstLine="405"/>
        <w:spacing w:after="0" w:line="268" w:lineRule="auto"/>
        <w:rPr>
          <w:sz w:val="20"/>
          <w:szCs w:val="20"/>
          <w:color w:val="auto"/>
        </w:rPr>
      </w:pPr>
      <w:r>
        <w:rPr>
          <w:rFonts w:ascii="Times New Roman" w:cs="Times New Roman" w:eastAsia="Times New Roman" w:hAnsi="Times New Roman"/>
          <w:sz w:val="18"/>
          <w:szCs w:val="18"/>
          <w:color w:val="auto"/>
        </w:rPr>
        <w:t>Additional information regarding certain related party balances and transactions is included in “</w:t>
      </w:r>
      <w:r>
        <w:rPr>
          <w:rFonts w:ascii="Times New Roman" w:cs="Times New Roman" w:eastAsia="Times New Roman" w:hAnsi="Times New Roman"/>
          <w:sz w:val="18"/>
          <w:szCs w:val="18"/>
          <w:i w:val="1"/>
          <w:iCs w:val="1"/>
          <w:color w:val="auto"/>
        </w:rPr>
        <w:t>Note 2 — 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to the consolidated financial statements included in the Original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61" w:lineRule="exact"/>
        <w:rPr>
          <w:sz w:val="20"/>
          <w:szCs w:val="20"/>
          <w:color w:val="auto"/>
        </w:rPr>
      </w:pPr>
    </w:p>
    <w:p>
      <w:pPr>
        <w:ind w:firstLine="405"/>
        <w:spacing w:after="0" w:line="281" w:lineRule="auto"/>
        <w:rPr>
          <w:sz w:val="20"/>
          <w:szCs w:val="20"/>
          <w:color w:val="auto"/>
        </w:rPr>
      </w:pPr>
      <w:r>
        <w:rPr>
          <w:rFonts w:ascii="Times New Roman" w:cs="Times New Roman" w:eastAsia="Times New Roman" w:hAnsi="Times New Roman"/>
          <w:sz w:val="18"/>
          <w:szCs w:val="18"/>
          <w:color w:val="auto"/>
        </w:rPr>
        <w:t>Our Board of Directors has adopted a written related person transaction policy that sets forth the following policies and procedures for the review and approval or ratification of related person transactions. Under the policy:</w:t>
      </w:r>
    </w:p>
    <w:p>
      <w:pPr>
        <w:spacing w:after="0" w:line="55" w:lineRule="exact"/>
        <w:rPr>
          <w:sz w:val="20"/>
          <w:szCs w:val="20"/>
          <w:color w:val="auto"/>
        </w:rPr>
      </w:pPr>
    </w:p>
    <w:p>
      <w:pPr>
        <w:jc w:val="both"/>
        <w:ind w:left="580" w:hanging="168"/>
        <w:spacing w:after="0" w:line="265" w:lineRule="auto"/>
        <w:tabs>
          <w:tab w:leader="none" w:pos="5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related person transaction, and any material amendment or modification to a related person transaction, must be reviewed and approved or ratified by a committee of our Board of Directors composed solely of independent directors who are disinterested or by the disinterested members of our Board of Directors; and</w:t>
      </w:r>
    </w:p>
    <w:p>
      <w:pPr>
        <w:spacing w:after="0" w:line="69" w:lineRule="exact"/>
        <w:rPr>
          <w:rFonts w:ascii="Times New Roman" w:cs="Times New Roman" w:eastAsia="Times New Roman" w:hAnsi="Times New Roman"/>
          <w:sz w:val="18"/>
          <w:szCs w:val="18"/>
          <w:color w:val="auto"/>
        </w:rPr>
      </w:pPr>
    </w:p>
    <w:p>
      <w:pPr>
        <w:ind w:left="580" w:hanging="168"/>
        <w:spacing w:after="0" w:line="281" w:lineRule="auto"/>
        <w:tabs>
          <w:tab w:leader="none" w:pos="5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 relationship or transaction involving an executive officer and any related compensation must be approved by the Compensation Committee of our Board of Directors or recommended by the Compensation Committee to our Board of Directors for its approval.</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connection with the review and approval or ratification of a related person transaction:</w:t>
      </w:r>
    </w:p>
    <w:p>
      <w:pPr>
        <w:spacing w:after="0" w:line="117" w:lineRule="exact"/>
        <w:rPr>
          <w:sz w:val="20"/>
          <w:szCs w:val="20"/>
          <w:color w:val="auto"/>
        </w:rPr>
      </w:pPr>
    </w:p>
    <w:p>
      <w:pPr>
        <w:jc w:val="both"/>
        <w:ind w:left="580" w:hanging="168"/>
        <w:spacing w:after="0" w:line="265" w:lineRule="auto"/>
        <w:tabs>
          <w:tab w:leader="none" w:pos="5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must disclose to the committee or disinterested directors, as applicable, the name of the related person and the basis on which the person is a related person, the material terms of the related person transaction, including the approximate Dollar value of the amount involved in the transaction, and all the material facts as to the related person’s direct or indirect interest in, or relationship to, the related person transaction;</w:t>
      </w:r>
    </w:p>
    <w:p>
      <w:pPr>
        <w:spacing w:after="0" w:line="69" w:lineRule="exact"/>
        <w:rPr>
          <w:rFonts w:ascii="Times New Roman" w:cs="Times New Roman" w:eastAsia="Times New Roman" w:hAnsi="Times New Roman"/>
          <w:sz w:val="18"/>
          <w:szCs w:val="18"/>
          <w:color w:val="auto"/>
        </w:rPr>
      </w:pPr>
    </w:p>
    <w:p>
      <w:pPr>
        <w:ind w:left="580" w:right="20" w:hanging="168"/>
        <w:spacing w:after="0" w:line="281" w:lineRule="auto"/>
        <w:tabs>
          <w:tab w:leader="none" w:pos="5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must advise the committee or disinterested directors, as applicable, as to whether the related person transaction complies with the terms of our agreements governing our material outstanding indebtedness that limit or restrict our ability to enter into a related person transaction;</w:t>
      </w:r>
    </w:p>
    <w:p>
      <w:pPr>
        <w:spacing w:after="0" w:line="54" w:lineRule="exact"/>
        <w:rPr>
          <w:rFonts w:ascii="Times New Roman" w:cs="Times New Roman" w:eastAsia="Times New Roman" w:hAnsi="Times New Roman"/>
          <w:sz w:val="18"/>
          <w:szCs w:val="18"/>
          <w:color w:val="auto"/>
        </w:rPr>
      </w:pPr>
    </w:p>
    <w:p>
      <w:pPr>
        <w:jc w:val="both"/>
        <w:ind w:left="580" w:hanging="168"/>
        <w:spacing w:after="0" w:line="265" w:lineRule="auto"/>
        <w:tabs>
          <w:tab w:leader="none" w:pos="5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must advise the committee or disinterested directors, as applicable, as to whether the related person transaction will be required to be disclosed in our applicable filings under the Exchange Act, and related rules, and, to the extent required to be disclosed, management must ensure that the related person transaction is disclosed in accordance with such Act and related rules; and</w:t>
      </w:r>
    </w:p>
    <w:p>
      <w:pPr>
        <w:spacing w:after="0" w:line="69" w:lineRule="exact"/>
        <w:rPr>
          <w:rFonts w:ascii="Times New Roman" w:cs="Times New Roman" w:eastAsia="Times New Roman" w:hAnsi="Times New Roman"/>
          <w:sz w:val="18"/>
          <w:szCs w:val="18"/>
          <w:color w:val="auto"/>
        </w:rPr>
      </w:pPr>
    </w:p>
    <w:p>
      <w:pPr>
        <w:ind w:left="580" w:right="20" w:hanging="168"/>
        <w:spacing w:after="0" w:line="281" w:lineRule="auto"/>
        <w:tabs>
          <w:tab w:leader="none" w:pos="5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must advise the committee or disinterested directors, as applicable, as to whether the related person transaction constitutes a “personal loan” for purposes of Section 402 of the Sarbanes-Oxley Act.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25" w:name="page26"/>
    <w:bookmarkEnd w:id="25"/>
    <w:p>
      <w:pPr>
        <w:jc w:val="both"/>
        <w:ind w:firstLine="405"/>
        <w:spacing w:after="0" w:line="260" w:lineRule="auto"/>
        <w:rPr>
          <w:sz w:val="20"/>
          <w:szCs w:val="20"/>
          <w:color w:val="auto"/>
        </w:rPr>
      </w:pPr>
      <w:r>
        <w:rPr>
          <w:rFonts w:ascii="Times New Roman" w:cs="Times New Roman" w:eastAsia="Times New Roman" w:hAnsi="Times New Roman"/>
          <w:sz w:val="18"/>
          <w:szCs w:val="18"/>
          <w:color w:val="auto"/>
        </w:rPr>
        <w:t>In addition, the related person transaction policy provides that the committee or disinterested directors, as applicable, in connection with any approval or ratification of a related person transaction involving a non-employee director or director nominee, should consider whether such transaction would compromise the director or director nominee’s status as an “independent” or “non-employee” director, as applicable, under the rules and regulations of the SEC and NYSE.</w:t>
      </w:r>
    </w:p>
    <w:p>
      <w:pPr>
        <w:spacing w:after="0" w:line="101" w:lineRule="exact"/>
        <w:rPr>
          <w:sz w:val="20"/>
          <w:szCs w:val="20"/>
          <w:color w:val="auto"/>
        </w:rPr>
      </w:pPr>
    </w:p>
    <w:p>
      <w:pPr>
        <w:jc w:val="both"/>
        <w:ind w:right="20" w:firstLine="405"/>
        <w:spacing w:after="0" w:line="265"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 A “related person” means:</w:t>
      </w:r>
    </w:p>
    <w:p>
      <w:pPr>
        <w:spacing w:after="0" w:line="69" w:lineRule="exact"/>
        <w:rPr>
          <w:sz w:val="20"/>
          <w:szCs w:val="20"/>
          <w:color w:val="auto"/>
        </w:rPr>
      </w:pPr>
    </w:p>
    <w:p>
      <w:pPr>
        <w:ind w:left="560" w:hanging="148"/>
        <w:spacing w:after="0"/>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the Company’s executive officers or one of the Company’s directors;</w:t>
      </w:r>
    </w:p>
    <w:p>
      <w:pPr>
        <w:spacing w:after="0" w:line="116" w:lineRule="exact"/>
        <w:rPr>
          <w:rFonts w:ascii="Times New Roman" w:cs="Times New Roman" w:eastAsia="Times New Roman" w:hAnsi="Times New Roman"/>
          <w:sz w:val="18"/>
          <w:szCs w:val="18"/>
          <w:color w:val="auto"/>
        </w:rPr>
      </w:pPr>
    </w:p>
    <w:p>
      <w:pPr>
        <w:ind w:left="560" w:hanging="148"/>
        <w:spacing w:after="0"/>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to be the beneficial owner of more than 5% of the Company’s voting stock;</w:t>
      </w:r>
    </w:p>
    <w:p>
      <w:pPr>
        <w:spacing w:after="0" w:line="116" w:lineRule="exact"/>
        <w:rPr>
          <w:rFonts w:ascii="Times New Roman" w:cs="Times New Roman" w:eastAsia="Times New Roman" w:hAnsi="Times New Roman"/>
          <w:sz w:val="18"/>
          <w:szCs w:val="18"/>
          <w:color w:val="auto"/>
        </w:rPr>
      </w:pPr>
    </w:p>
    <w:p>
      <w:pPr>
        <w:jc w:val="both"/>
        <w:ind w:left="580" w:hanging="168"/>
        <w:spacing w:after="0" w:line="260" w:lineRule="auto"/>
        <w:tabs>
          <w:tab w:leader="none" w:pos="5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our Class A common stock, and any person (other than a tenant or employee) sharing the household of such director, executive officer or beneficial owner of more than 5% of our Class A common stock; and</w:t>
      </w:r>
    </w:p>
    <w:p>
      <w:pPr>
        <w:spacing w:after="0" w:line="73" w:lineRule="exact"/>
        <w:rPr>
          <w:rFonts w:ascii="Times New Roman" w:cs="Times New Roman" w:eastAsia="Times New Roman" w:hAnsi="Times New Roman"/>
          <w:sz w:val="18"/>
          <w:szCs w:val="18"/>
          <w:color w:val="auto"/>
        </w:rPr>
      </w:pPr>
    </w:p>
    <w:p>
      <w:pPr>
        <w:ind w:left="580" w:hanging="168"/>
        <w:spacing w:after="0" w:line="281" w:lineRule="auto"/>
        <w:tabs>
          <w:tab w:leader="none" w:pos="5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161"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8"/>
          <w:szCs w:val="18"/>
          <w:color w:val="auto"/>
        </w:rPr>
        <w:t xml:space="preserve">Below are transactions, arrangements and relationships that exceed or are reasonably expected to exceed $120,000 in a single fiscal year with our directors, executive officers and stockholders owning 5% or more of our outstanding Class A common stock, or any member of the immediate family of any of the foregoing persons, since January 1, 2024, other than equity and other compensation, termination, change in control and other arrangements, which are described under </w:t>
      </w:r>
      <w:r>
        <w:rPr>
          <w:rFonts w:ascii="Times New Roman" w:cs="Times New Roman" w:eastAsia="Times New Roman" w:hAnsi="Times New Roman"/>
          <w:sz w:val="18"/>
          <w:szCs w:val="18"/>
          <w:i w:val="1"/>
          <w:iCs w:val="1"/>
          <w:color w:val="auto"/>
        </w:rPr>
        <w:t>“Item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Stockholders Agreement</w:t>
      </w:r>
    </w:p>
    <w:p>
      <w:pPr>
        <w:spacing w:after="0" w:line="16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Sponsor, the equity holders of the Sponsor, certain equity holders of Griffey Global Holdings Inc., and certain other parties entered into the Original Stockholders Agreement, relating to, among other things, the composition of our Board of Directors. See "</w:t>
      </w:r>
      <w:r>
        <w:rPr>
          <w:rFonts w:ascii="Times New Roman" w:cs="Times New Roman" w:eastAsia="Times New Roman" w:hAnsi="Times New Roman"/>
          <w:sz w:val="18"/>
          <w:szCs w:val="18"/>
          <w:i w:val="1"/>
          <w:iCs w:val="1"/>
          <w:color w:val="auto"/>
        </w:rPr>
        <w:t>Item 10. Directors, Executive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Corporate Governance-Corporate Governance-Board Composition</w:t>
      </w:r>
      <w:r>
        <w:rPr>
          <w:rFonts w:ascii="Times New Roman" w:cs="Times New Roman" w:eastAsia="Times New Roman" w:hAnsi="Times New Roman"/>
          <w:sz w:val="18"/>
          <w:szCs w:val="18"/>
          <w:color w:val="auto"/>
        </w:rPr>
        <w:t>" above for more information. In accordance with the Original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composition of our Board of Directors currently is (a) three directors nominated by Getty Investments: Patrick Maxwell, Mark Getty and Tracy Knox; (b) two directors nominated by Koch Icon: Michael Harris and Brett Watson; (c) one director nominated by CC Capital: Chinh Chu; (d) the chief executive officer of the Company (which is Craig Peters) and (e) a number of independent directors sufficient to comply with the requisite independence requirements of the NYSE and the rules and regulations of the SEC.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6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Concurrently with the Closing, the Company, the Sponsor and the persons identified on Schedule A thereto, including the Getty Family Stockholders and Koch Icon, entered into the Registration Rights Agreement, which provides customary demand and piggyback registration rights. Pursuant to the Registration Rights Agreement, the Company agreed that, as soon as practicable, and in any event within 30 days after the Closing, the Company will file with the SEC a shelf registration statement. In addition, the Company will use its commercially reasonable best efforts to have such shelf registration statement declared effective as soon as practicable after the filing thereof, but no later than the 90th day (or the 120th day if the SEC notifies the Company that it will “review” such shelf registration statement) following the filing deadline, in each case subject to the terms and conditions set forth therein; and the Company will not be subject to any form of monetary penalty for its failure to do so.</w:t>
      </w:r>
    </w:p>
    <w:p>
      <w:pPr>
        <w:spacing w:after="0" w:line="11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Additionally, the Company, the Getty Family Stockholders, Koch Icon, and other parties to the Registration Rights Agreement, have agreed to amend and restate such agreement in connection with the closing of the transactions contemplated by the Shutterstock Merger Agreement (the “Amended and Restated Registration Rights Agreement”). Pursuant to the Amended and Restated Registration Rights Agreement, the parties will be entitled to certain piggyback registration rights and customary demand registration rights. In addition pursuant to the amendment and restatement, among other things, within 90 days following the closing of the transactions contemplated by the Shutterstock Merger Agreement, the Company will coordinate with the stockholders party to the Amended and Restated Registration Rights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6" w:name="page27"/>
    <w:bookmarkEnd w:id="26"/>
    <w:p>
      <w:pPr>
        <w:jc w:val="both"/>
        <w:spacing w:after="0" w:line="281" w:lineRule="auto"/>
        <w:rPr>
          <w:sz w:val="20"/>
          <w:szCs w:val="20"/>
          <w:color w:val="auto"/>
        </w:rPr>
      </w:pPr>
      <w:r>
        <w:rPr>
          <w:rFonts w:ascii="Times New Roman" w:cs="Times New Roman" w:eastAsia="Times New Roman" w:hAnsi="Times New Roman"/>
          <w:sz w:val="18"/>
          <w:szCs w:val="18"/>
          <w:color w:val="auto"/>
        </w:rPr>
        <w:t>Agreement to complete an underwritten secondary offering of a certain number of shares of Class A common stock beneficially owned by such stockholders.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Restated Option Agreement</w:t>
      </w:r>
    </w:p>
    <w:p>
      <w:pPr>
        <w:spacing w:after="0" w:line="25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Getty Investments is a party to a Restated Option Agreement, dated February 9, 1998 (as amended on February 9, 1998, February 24, 2008, and August 14, 2012, the “Restated Option Agreement”) pursuant to which Getty Investments has the right to obtain ownership of the Getty Marks (as defined in the Restated Option Agreement) in the event one or more third parties acquire a controlling interest in Getty Images, Inc. In connection with the entry into the Business Combination Agreement, Getty Investments entered into the Fourth Amendment to the Restated Option Agreement, which provides that the Restated Option Agreement will automatically terminate if, and on the date following the Closing Date on which, the Getty Family Stockholders (together with their respective successors and any permitted transferees) beneficially own less than 27,500,000 shares of Class A common stock (as adjusted for stock splits, stock combinations, and similar transactions).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Stockholder Agreement</w:t>
      </w:r>
    </w:p>
    <w:p>
      <w:pPr>
        <w:spacing w:after="0" w:line="25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Concurrently with the execution of the Shutterstock Merger Agreement, the Getty Family Stockholders, Koch Icon and Mr. Jonathan Oringer, the Executive Chairman of Shutterstock (each, a “Significant Stockholder”) entered into the significant stockholder agreement (the "Significant Stockholder Agreement"). Pursuant to the Significant Stockholder Agreement, the Getty Family Stockholders, Koch Icon and Mr. Oringer have agreed to certain restrictions on transfers of their shares of Class A common stock following the closing of business combination between the Company and Shutterstock, including (a) any transfers during the 90 days following the closing or (b) thereafter, to any direct competitor of Getty Images or any activist shareholder, in each case, subject to certain limited exceptions including in sales through open market transactions. These restrictions terminate based on certain thresholds of the Significant Stockholders’ beneficial ownership.</w:t>
      </w:r>
    </w:p>
    <w:p>
      <w:pPr>
        <w:spacing w:after="0" w:line="21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Pursuant to the Significant Stockholder Agreement, the Getty Family Stockholders and Koch Icon are entitled to certain rights to designate directors to our Board of Directors, subject to ownership thresholds. Based on expected ownership of the Getty Family Stockholders and Koch Icon immediately following the closing, the Getty Family Stockholders are expected to be entitled to designate two directors to our Board of Directors and the Koch Icon is expected to be entitled to designate one director to our Board of Directors. For so long as the Getty Family Stockholders are entitled to designate two directors to our Board of Directors, the Getty Family Stockholders will be entitled to designate the Chairman of our Board of Directors. For so long as the Getty Family Stockholders and Koch Icon are entitled to designate at least one director to our Board of Directors, each of Getty Family Stockholders and Koch Icon, as applicable, shall be entitled to appoint an observer to our Board of Directors.</w:t>
      </w:r>
    </w:p>
    <w:p>
      <w:pPr>
        <w:spacing w:after="0" w:line="2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Please see the Significant Stockholder Agreement, which is attached as Exhibit 10.22 to the Original Form 10-K for more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Agreements</w:t>
      </w:r>
    </w:p>
    <w:p>
      <w:pPr>
        <w:spacing w:after="0" w:line="25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Also concurrently with the execution of the Shutterstock Merger Agreement, the Getty Family Stockholders and Koch Icon each entered into a letter agreement with the Company, in each case dated as of January 6, 2025, wherein (a) the Getty Family Stockholders and Koch Icon have agreed to certain restrictions on transfers of their shares of Class A common stock and associated voting rights until the earlier of (i) termination of the Shutterstock Merger Agreement in accordance with its terms or (ii) the closing of the transaction, (b) each of the Getty Family Stockholders and Koch Icon have agreed to cooperate with the Company in connection with (A) termination of the Original Stockholders Agreement, to be effective as of closing of the transaction and</w:t>
      </w:r>
    </w:p>
    <w:p>
      <w:pPr>
        <w:spacing w:after="0" w:line="2" w:lineRule="exact"/>
        <w:rPr>
          <w:sz w:val="20"/>
          <w:szCs w:val="20"/>
          <w:color w:val="auto"/>
        </w:rPr>
      </w:pPr>
    </w:p>
    <w:p>
      <w:pPr>
        <w:jc w:val="both"/>
        <w:ind w:firstLine="8"/>
        <w:spacing w:after="0" w:line="252" w:lineRule="auto"/>
        <w:tabs>
          <w:tab w:leader="none" w:pos="3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regulatory approvals required in connection with the transaction, and (c) the Company has agreed to provide reimbursement to the Getty Family Stockholders and Koch Icon for certain expenses incurred in connection with the transaction, in each case up to a cap of $400,000 (such cap, however, does not apply to expenses incurred in connection with litigation or regulatory approvals). CC NB Sponsor 2 Holdings LLC, CC Capital and NBOKS have also each entered into a Letter Agreement with the Company, in each case dated as of January 6, 2025, which contain similar provisions with respect to reimbursement for certain of their expenses incurred in connection with the transaction and their cooperation in connection with termination of the Original Stockholders Agreement, to be effective as of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27" w:name="page28"/>
    <w:bookmarkEnd w:id="27"/>
    <w:p>
      <w:pPr>
        <w:ind w:right="1420" w:firstLine="405"/>
        <w:spacing w:after="0" w:line="453" w:lineRule="auto"/>
        <w:rPr>
          <w:sz w:val="20"/>
          <w:szCs w:val="20"/>
          <w:color w:val="auto"/>
        </w:rPr>
      </w:pPr>
      <w:r>
        <w:rPr>
          <w:rFonts w:ascii="Times New Roman" w:cs="Times New Roman" w:eastAsia="Times New Roman" w:hAnsi="Times New Roman"/>
          <w:sz w:val="18"/>
          <w:szCs w:val="18"/>
          <w:color w:val="auto"/>
        </w:rPr>
        <w:t xml:space="preserve">Please see the Letter Agreements, which are attached as Exhibits 10.23 and 10.24 to the Original Form 10-K for more information. </w:t>
      </w:r>
      <w:r>
        <w:rPr>
          <w:rFonts w:ascii="Times New Roman" w:cs="Times New Roman" w:eastAsia="Times New Roman" w:hAnsi="Times New Roman"/>
          <w:sz w:val="18"/>
          <w:szCs w:val="18"/>
          <w:b w:val="1"/>
          <w:bCs w:val="1"/>
          <w:color w:val="auto"/>
        </w:rPr>
        <w:t>Indemnification Agreements</w:t>
      </w:r>
    </w:p>
    <w:p>
      <w:pPr>
        <w:spacing w:after="0" w:line="14"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8"/>
          <w:szCs w:val="18"/>
          <w:color w:val="auto"/>
        </w:rPr>
        <w:t>We currently indemnify our directors and executive officers to the fullest extent permitted by law. Further, we have entered into customary indemnification agreements with our directors and executive officers. These agreements require us to indemnify these individuals to the fullest extent permitted by applicable law against liabilities that may arise by reason of their service to the Company, and to advance expenses incurred as a result of any proceeding against them as to which they could be indemnified.</w:t>
      </w:r>
    </w:p>
    <w:p>
      <w:pPr>
        <w:spacing w:after="0" w:line="182" w:lineRule="exact"/>
        <w:rPr>
          <w:sz w:val="20"/>
          <w:szCs w:val="20"/>
          <w:color w:val="auto"/>
        </w:rPr>
      </w:pPr>
    </w:p>
    <w:p>
      <w:pPr>
        <w:jc w:val="both"/>
        <w:ind w:firstLine="405"/>
        <w:spacing w:after="0" w:line="281"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the Company’s directors, officers or employees for which indemnification is sought.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7" w:lineRule="exact"/>
        <w:rPr>
          <w:sz w:val="20"/>
          <w:szCs w:val="20"/>
          <w:color w:val="auto"/>
        </w:rPr>
      </w:pPr>
    </w:p>
    <w:p>
      <w:pPr>
        <w:jc w:val="both"/>
        <w:ind w:firstLine="405"/>
        <w:spacing w:after="0" w:line="283"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“Item 11. Executive Compensation”</w:t>
      </w:r>
      <w:r>
        <w:rPr>
          <w:rFonts w:ascii="Times New Roman" w:cs="Times New Roman" w:eastAsia="Times New Roman" w:hAnsi="Times New Roman"/>
          <w:sz w:val="18"/>
          <w:szCs w:val="18"/>
          <w:color w:val="auto"/>
        </w:rPr>
        <w:t xml:space="preserve"> for information regarding compensation arrangements with our named executive officers and directors, which include, among other things, employment, termination of employment and change in control arrangements, stock awards and certain other benefits.</w:t>
      </w:r>
    </w:p>
    <w:p>
      <w:pPr>
        <w:spacing w:after="0" w:line="16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Stephanie Liverani, the spouse of Mikael Cho, Senior Vice President – CEO, Unsplash, is employed by a subsidiary of Getty Images and serves as Vice President &amp; Co-Founder, Unsplash. In 2025 and 2024, she was paid approximately $271,000 and $265,000 in base salary and $152,000 and $234,000 in cash bonus, respectively. Additionally, Christopher Liverani, the brother-in-law of Mikael Cho, Senior Vice President – CEO, Unsplash, is employed by a subsidiary of Getty Images and serves as Brand Partnerships Executive. In 2025 and 2024, he was paid approximately $223,000 and $206,000 in base salary and $209,500 and $323,000 in commissions, respectively. Each individual participated in other regular and customary employee benefit programs generally available to all Getty Images employees. In addition, the amount of compensation was determined in accordance with the Company’s standard compensation practices applicable to similarly situated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information on director independence, see “</w:t>
      </w:r>
      <w:r>
        <w:rPr>
          <w:rFonts w:ascii="Times New Roman" w:cs="Times New Roman" w:eastAsia="Times New Roman" w:hAnsi="Times New Roman"/>
          <w:sz w:val="18"/>
          <w:szCs w:val="18"/>
          <w:i w:val="1"/>
          <w:iCs w:val="1"/>
          <w:color w:val="auto"/>
        </w:rPr>
        <w:t>Item 10. Directors, Executive Officers and Corporate Governance--Director Independence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55" w:lineRule="exact"/>
        <w:rPr>
          <w:sz w:val="20"/>
          <w:szCs w:val="20"/>
          <w:color w:val="auto"/>
        </w:rPr>
      </w:pPr>
    </w:p>
    <w:p>
      <w:pPr>
        <w:ind w:right="20" w:firstLine="405"/>
        <w:spacing w:after="0" w:line="281" w:lineRule="auto"/>
        <w:rPr>
          <w:sz w:val="20"/>
          <w:szCs w:val="20"/>
          <w:color w:val="auto"/>
        </w:rPr>
      </w:pPr>
      <w:r>
        <w:rPr>
          <w:rFonts w:ascii="Times New Roman" w:cs="Times New Roman" w:eastAsia="Times New Roman" w:hAnsi="Times New Roman"/>
          <w:sz w:val="18"/>
          <w:szCs w:val="18"/>
          <w:color w:val="auto"/>
        </w:rPr>
        <w:t>The following is a summary of the fees billed to us by Ernst &amp; Young LLP for professional services rendered for fiscal years ended December 31, 2025 and December 31, 2024:</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188"/>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Fee Category (in thousands)</w:t>
            </w:r>
          </w:p>
        </w:tc>
        <w:tc>
          <w:tcPr>
            <w:tcW w:w="5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9"/>
        </w:trPr>
        <w:tc>
          <w:tcPr>
            <w:tcW w:w="6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43"/>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r>
      <w:tr>
        <w:trPr>
          <w:trHeight w:val="24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6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4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6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r>
      <w:tr>
        <w:trPr>
          <w:trHeight w:val="20"/>
        </w:trPr>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161" w:lineRule="exact"/>
        <w:rPr>
          <w:sz w:val="20"/>
          <w:szCs w:val="20"/>
          <w:color w:val="auto"/>
        </w:rPr>
      </w:pPr>
    </w:p>
    <w:p>
      <w:pPr>
        <w:jc w:val="both"/>
        <w:ind w:firstLine="405"/>
        <w:spacing w:after="0" w:line="265" w:lineRule="auto"/>
        <w:rPr>
          <w:sz w:val="20"/>
          <w:szCs w:val="20"/>
          <w:color w:val="auto"/>
        </w:rPr>
      </w:pPr>
      <w:r>
        <w:rPr>
          <w:rFonts w:ascii="Times New Roman" w:cs="Times New Roman" w:eastAsia="Times New Roman" w:hAnsi="Times New Roman"/>
          <w:sz w:val="18"/>
          <w:szCs w:val="18"/>
          <w:color w:val="auto"/>
        </w:rPr>
        <w:t>Audit fees consist of fees billed for professional services rendered for the annual audit of our consolidated financial statements presented within the Annual Report on Form 10-K for the year ended December 31, 2025, the review of the interim consolidated financial statements presented in our quarterly reports on Form 10-Q, our registration statement on Form S-4, and other regulatory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161" w:lineRule="exact"/>
        <w:rPr>
          <w:sz w:val="20"/>
          <w:szCs w:val="20"/>
          <w:color w:val="auto"/>
        </w:rPr>
      </w:pPr>
    </w:p>
    <w:p>
      <w:pPr>
        <w:jc w:val="both"/>
        <w:ind w:firstLine="243"/>
        <w:spacing w:after="0" w:line="281" w:lineRule="auto"/>
        <w:rPr>
          <w:sz w:val="20"/>
          <w:szCs w:val="20"/>
          <w:color w:val="auto"/>
        </w:rPr>
      </w:pPr>
      <w:r>
        <w:rPr>
          <w:rFonts w:ascii="Times New Roman" w:cs="Times New Roman" w:eastAsia="Times New Roman" w:hAnsi="Times New Roman"/>
          <w:sz w:val="18"/>
          <w:szCs w:val="18"/>
          <w:color w:val="auto"/>
        </w:rPr>
        <w:t>There were $5,900,000 audit-related fees related to Section 404(b) readiness billed by Ernst &amp; Young LLP for fiscal years 2025 and there were no audit-related fees billed in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Tax fees include fees billed by Ernst &amp; Young LLP related to tax compliance and consulting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All other fees consisted of fees related to an accounting research software product.</w:t>
      </w:r>
    </w:p>
    <w:p>
      <w:pPr>
        <w:spacing w:after="0" w:line="157" w:lineRule="exact"/>
        <w:rPr>
          <w:sz w:val="20"/>
          <w:szCs w:val="20"/>
          <w:color w:val="auto"/>
        </w:rPr>
      </w:pPr>
    </w:p>
    <w:p>
      <w:pPr>
        <w:jc w:val="both"/>
        <w:ind w:firstLine="243"/>
        <w:spacing w:after="0" w:line="265" w:lineRule="auto"/>
        <w:rPr>
          <w:sz w:val="20"/>
          <w:szCs w:val="20"/>
          <w:color w:val="auto"/>
        </w:rPr>
      </w:pPr>
      <w:r>
        <w:rPr>
          <w:rFonts w:ascii="Times New Roman" w:cs="Times New Roman" w:eastAsia="Times New Roman" w:hAnsi="Times New Roman"/>
          <w:sz w:val="18"/>
          <w:szCs w:val="18"/>
          <w:color w:val="auto"/>
        </w:rPr>
        <w:t>The Audit Committee determined that Ernst &amp; Young LLP’s provision of these services, and the fees that we paid for these services, are compatible with maintaining the independence of the independent registered public accounting firm. The Audit Committee approved all services that Ernst &amp; Young LLP provided in the fiscal years ended December 31, 2025 and 2024.</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29" w:name="page30"/>
    <w:bookmarkEnd w:id="29"/>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 AND FINANCIAL STATEMENT SCHEDULES</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The exhibits required to be filed by Item 15 are set forth in, and filed with or incorporated by reference in, the exhibit list of the Original Form 10-K. The following list of exhibits sets forth the additional exhibits required to be filed with this Amendment No. 1 and is incorporated herein by reference in response to this Item.</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6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14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31.3*</w:t>
            </w:r>
          </w:p>
        </w:tc>
        <w:tc>
          <w:tcPr>
            <w:tcW w:w="100" w:type="dxa"/>
            <w:vAlign w:val="bottom"/>
          </w:tcPr>
          <w:p>
            <w:pPr>
              <w:spacing w:after="0"/>
              <w:rPr>
                <w:sz w:val="17"/>
                <w:szCs w:val="17"/>
                <w:color w:val="auto"/>
              </w:rPr>
            </w:pPr>
          </w:p>
        </w:tc>
        <w:tc>
          <w:tcPr>
            <w:tcW w:w="9660" w:type="dxa"/>
            <w:vAlign w:val="bottom"/>
            <w:gridSpan w:val="5"/>
          </w:tcPr>
          <w:p>
            <w:pPr>
              <w:ind w:left="20"/>
              <w:spacing w:after="0" w:line="195" w:lineRule="exact"/>
              <w:rPr>
                <w:sz w:val="20"/>
                <w:szCs w:val="20"/>
                <w:color w:val="auto"/>
              </w:rPr>
            </w:pPr>
            <w:r>
              <w:rPr>
                <w:rFonts w:ascii="Times New Roman" w:cs="Times New Roman" w:eastAsia="Times New Roman" w:hAnsi="Times New Roman"/>
                <w:sz w:val="18"/>
                <w:szCs w:val="18"/>
                <w:color w:val="0000FF"/>
              </w:rPr>
              <w:t>Certification of Chief Executive Officer pursuant to Exchange Act Rules 13a-14(a) and 15d-14(a), as adopted pursuant to Section</w:t>
            </w: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2"/>
          </w:tcPr>
          <w:p>
            <w:pPr>
              <w:ind w:left="20"/>
              <w:spacing w:after="0" w:line="195" w:lineRule="exact"/>
              <w:rPr>
                <w:sz w:val="20"/>
                <w:szCs w:val="20"/>
                <w:color w:val="auto"/>
              </w:rPr>
            </w:pPr>
            <w:r>
              <w:rPr>
                <w:rFonts w:ascii="Times New Roman" w:cs="Times New Roman" w:eastAsia="Times New Roman" w:hAnsi="Times New Roman"/>
                <w:sz w:val="18"/>
                <w:szCs w:val="18"/>
                <w:color w:val="0000FF"/>
                <w:w w:val="98"/>
              </w:rPr>
              <w:t>302 of the Sarbanes-Oxley Act of 2002</w:t>
            </w:r>
          </w:p>
        </w:tc>
        <w:tc>
          <w:tcPr>
            <w:tcW w:w="6480" w:type="dxa"/>
            <w:vAlign w:val="bottom"/>
            <w:tcBorders>
              <w:top w:val="single" w:sz="8" w:color="0000FF"/>
            </w:tcBorders>
          </w:tcPr>
          <w:p>
            <w:pPr>
              <w:spacing w:after="0"/>
              <w:rPr>
                <w:sz w:val="17"/>
                <w:szCs w:val="17"/>
                <w:color w:val="auto"/>
              </w:rPr>
            </w:pPr>
          </w:p>
        </w:tc>
        <w:tc>
          <w:tcPr>
            <w:tcW w:w="340" w:type="dxa"/>
            <w:vAlign w:val="bottom"/>
            <w:gridSpan w:val="2"/>
          </w:tcPr>
          <w:p>
            <w:pPr>
              <w:spacing w:after="0"/>
              <w:rPr>
                <w:sz w:val="17"/>
                <w:szCs w:val="17"/>
                <w:color w:val="auto"/>
              </w:rPr>
            </w:pPr>
          </w:p>
        </w:tc>
      </w:tr>
      <w:tr>
        <w:trPr>
          <w:trHeight w:val="250"/>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31.4*</w:t>
            </w:r>
          </w:p>
        </w:tc>
        <w:tc>
          <w:tcPr>
            <w:tcW w:w="100" w:type="dxa"/>
            <w:vAlign w:val="bottom"/>
          </w:tcPr>
          <w:p>
            <w:pPr>
              <w:spacing w:after="0"/>
              <w:rPr>
                <w:sz w:val="21"/>
                <w:szCs w:val="21"/>
                <w:color w:val="auto"/>
              </w:rPr>
            </w:pPr>
          </w:p>
        </w:tc>
        <w:tc>
          <w:tcPr>
            <w:tcW w:w="960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Exchange Act Rules 13a-14(a) and 15d-14(a), as adopted pursuant to Section 302</w:t>
            </w:r>
          </w:p>
        </w:tc>
        <w:tc>
          <w:tcPr>
            <w:tcW w:w="60" w:type="dxa"/>
            <w:vAlign w:val="bottom"/>
          </w:tcPr>
          <w:p>
            <w:pPr>
              <w:spacing w:after="0"/>
              <w:rPr>
                <w:sz w:val="21"/>
                <w:szCs w:val="21"/>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60" w:type="dxa"/>
            <w:vAlign w:val="bottom"/>
            <w:gridSpan w:val="5"/>
          </w:tcPr>
          <w:p>
            <w:pPr>
              <w:ind w:left="20"/>
              <w:spacing w:after="0" w:line="195" w:lineRule="exact"/>
              <w:rPr>
                <w:sz w:val="20"/>
                <w:szCs w:val="20"/>
                <w:color w:val="auto"/>
              </w:rPr>
            </w:pPr>
            <w:r>
              <w:rPr>
                <w:rFonts w:ascii="Times New Roman" w:cs="Times New Roman" w:eastAsia="Times New Roman" w:hAnsi="Times New Roman"/>
                <w:sz w:val="18"/>
                <w:szCs w:val="18"/>
                <w:color w:val="0000FF"/>
              </w:rPr>
              <w:t>of the Sarbanes-Oxley Act of 2002</w:t>
            </w:r>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7140" w:type="dxa"/>
            <w:vAlign w:val="bottom"/>
            <w:gridSpan w:val="4"/>
          </w:tcPr>
          <w:p>
            <w:pPr>
              <w:spacing w:after="0" w:line="20" w:lineRule="exact"/>
              <w:rPr>
                <w:sz w:val="1"/>
                <w:szCs w:val="1"/>
                <w:color w:val="auto"/>
              </w:rPr>
            </w:pPr>
          </w:p>
        </w:tc>
      </w:tr>
      <w:tr>
        <w:trPr>
          <w:trHeight w:val="272"/>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101.1*</w:t>
            </w:r>
          </w:p>
        </w:tc>
        <w:tc>
          <w:tcPr>
            <w:tcW w:w="100" w:type="dxa"/>
            <w:vAlign w:val="bottom"/>
          </w:tcPr>
          <w:p>
            <w:pPr>
              <w:spacing w:after="0"/>
              <w:rPr>
                <w:sz w:val="23"/>
                <w:szCs w:val="23"/>
                <w:color w:val="auto"/>
              </w:rPr>
            </w:pPr>
          </w:p>
        </w:tc>
        <w:tc>
          <w:tcPr>
            <w:tcW w:w="96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 S-T. The instance document does not appear in the Interactive Data File</w:t>
            </w: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270"/>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00" w:type="dxa"/>
            <w:vAlign w:val="bottom"/>
          </w:tcPr>
          <w:p>
            <w:pPr>
              <w:spacing w:after="0"/>
              <w:rPr>
                <w:sz w:val="23"/>
                <w:szCs w:val="23"/>
                <w:color w:val="auto"/>
              </w:rPr>
            </w:pPr>
          </w:p>
        </w:tc>
        <w:tc>
          <w:tcPr>
            <w:tcW w:w="96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101.1</w:t>
            </w:r>
          </w:p>
        </w:tc>
      </w:tr>
    </w:tbl>
    <w:p>
      <w:pPr>
        <w:spacing w:after="0" w:line="36" w:lineRule="exact"/>
        <w:rPr>
          <w:sz w:val="20"/>
          <w:szCs w:val="20"/>
          <w:color w:val="auto"/>
        </w:rPr>
      </w:pPr>
    </w:p>
    <w:p>
      <w:pPr>
        <w:ind w:left="1600" w:hanging="902"/>
        <w:spacing w:after="0"/>
        <w:tabs>
          <w:tab w:leader="none" w:pos="1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firstLine="647"/>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2026</w:t>
            </w:r>
          </w:p>
        </w:tc>
        <w:tc>
          <w:tcPr>
            <w:tcW w:w="76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GETTY IMAGES HOLDINGS, INC.</w:t>
            </w:r>
          </w:p>
        </w:tc>
      </w:tr>
      <w:tr>
        <w:trPr>
          <w:trHeight w:val="539"/>
        </w:trPr>
        <w:tc>
          <w:tcPr>
            <w:tcW w:w="3600" w:type="dxa"/>
            <w:vAlign w:val="bottom"/>
          </w:tcPr>
          <w:p>
            <w:pPr>
              <w:spacing w:after="0"/>
              <w:rPr>
                <w:sz w:val="24"/>
                <w:szCs w:val="24"/>
                <w:color w:val="auto"/>
              </w:rPr>
            </w:pPr>
          </w:p>
        </w:tc>
        <w:tc>
          <w:tcPr>
            <w:tcW w:w="30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Craig Peters</w:t>
            </w:r>
          </w:p>
        </w:tc>
      </w:tr>
      <w:tr>
        <w:trPr>
          <w:trHeight w:val="27"/>
        </w:trPr>
        <w:tc>
          <w:tcPr>
            <w:tcW w:w="36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36"/>
        </w:trPr>
        <w:tc>
          <w:tcPr>
            <w:tcW w:w="3600" w:type="dxa"/>
            <w:vAlign w:val="bottom"/>
          </w:tcPr>
          <w:p>
            <w:pPr>
              <w:spacing w:after="0"/>
              <w:rPr>
                <w:sz w:val="20"/>
                <w:szCs w:val="20"/>
                <w:color w:val="auto"/>
              </w:rPr>
            </w:pPr>
          </w:p>
        </w:tc>
        <w:tc>
          <w:tcPr>
            <w:tcW w:w="30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Name:</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Peters</w:t>
            </w:r>
          </w:p>
        </w:tc>
      </w:tr>
      <w:tr>
        <w:trPr>
          <w:trHeight w:val="270"/>
        </w:trPr>
        <w:tc>
          <w:tcPr>
            <w:tcW w:w="3600" w:type="dxa"/>
            <w:vAlign w:val="bottom"/>
          </w:tcPr>
          <w:p>
            <w:pPr>
              <w:spacing w:after="0"/>
              <w:rPr>
                <w:sz w:val="23"/>
                <w:szCs w:val="23"/>
                <w:color w:val="auto"/>
              </w:rPr>
            </w:pPr>
          </w:p>
        </w:tc>
        <w:tc>
          <w:tcPr>
            <w:tcW w:w="30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142" w:right="339" w:bottom="1440" w:gutter="0" w:footer="0" w:header="0"/>
        </w:sectPr>
      </w:pPr>
    </w:p>
    <w:bookmarkStart w:id="31" w:name="page32"/>
    <w:bookmarkEnd w:id="31"/>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00" w:lineRule="exact"/>
        <w:rPr>
          <w:sz w:val="20"/>
          <w:szCs w:val="20"/>
          <w:color w:val="auto"/>
        </w:rPr>
      </w:pPr>
    </w:p>
    <w:p>
      <w:pPr>
        <w:spacing w:after="0" w:line="294" w:lineRule="exact"/>
        <w:rPr>
          <w:sz w:val="20"/>
          <w:szCs w:val="20"/>
          <w:color w:val="auto"/>
        </w:rPr>
      </w:pPr>
    </w:p>
    <w:p>
      <w:pPr>
        <w:jc w:val="cente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I, Craig Peters, certify </w:t>
      </w:r>
      <w:r>
        <w:rPr>
          <w:rFonts w:ascii="Times New Roman" w:cs="Times New Roman" w:eastAsia="Times New Roman" w:hAnsi="Times New Roman"/>
          <w:sz w:val="21"/>
          <w:szCs w:val="21"/>
          <w:color w:val="auto"/>
        </w:rPr>
        <w:t>that:</w:t>
      </w:r>
    </w:p>
    <w:p>
      <w:pPr>
        <w:spacing w:after="0" w:line="267" w:lineRule="exact"/>
        <w:rPr>
          <w:sz w:val="20"/>
          <w:szCs w:val="20"/>
          <w:color w:val="auto"/>
        </w:rPr>
      </w:pPr>
    </w:p>
    <w:p>
      <w:pPr>
        <w:ind w:left="620" w:right="100" w:hanging="329"/>
        <w:spacing w:after="0" w:line="232" w:lineRule="auto"/>
        <w:tabs>
          <w:tab w:leader="none" w:pos="6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 have reviewed this Amendment No. 1 to the Annual Report on Form 10-K of Getty Images Holdings, Inc. for the year ended December 31, 2025; and</w:t>
      </w:r>
    </w:p>
    <w:p>
      <w:pPr>
        <w:spacing w:after="0" w:line="211" w:lineRule="exact"/>
        <w:rPr>
          <w:rFonts w:ascii="Times New Roman" w:cs="Times New Roman" w:eastAsia="Times New Roman" w:hAnsi="Times New Roman"/>
          <w:sz w:val="20"/>
          <w:szCs w:val="20"/>
          <w:color w:val="auto"/>
        </w:rPr>
      </w:pPr>
    </w:p>
    <w:p>
      <w:pPr>
        <w:jc w:val="both"/>
        <w:ind w:left="620" w:right="100" w:hanging="329"/>
        <w:spacing w:after="0" w:line="227" w:lineRule="auto"/>
        <w:tabs>
          <w:tab w:leader="none" w:pos="6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5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2026</w:t>
            </w:r>
          </w:p>
        </w:tc>
        <w:tc>
          <w:tcPr>
            <w:tcW w:w="27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Peters</w:t>
            </w:r>
          </w:p>
        </w:tc>
      </w:tr>
      <w:tr>
        <w:trPr>
          <w:trHeight w:val="218"/>
        </w:trPr>
        <w:tc>
          <w:tcPr>
            <w:tcW w:w="3340" w:type="dxa"/>
            <w:vAlign w:val="bottom"/>
          </w:tcPr>
          <w:p>
            <w:pPr>
              <w:spacing w:after="0"/>
              <w:rPr>
                <w:sz w:val="18"/>
                <w:szCs w:val="18"/>
                <w:color w:val="auto"/>
              </w:rPr>
            </w:pPr>
          </w:p>
        </w:tc>
        <w:tc>
          <w:tcPr>
            <w:tcW w:w="27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Peters</w:t>
            </w:r>
          </w:p>
        </w:tc>
      </w:tr>
      <w:tr>
        <w:trPr>
          <w:trHeight w:val="229"/>
        </w:trPr>
        <w:tc>
          <w:tcPr>
            <w:tcW w:w="3340" w:type="dxa"/>
            <w:vAlign w:val="bottom"/>
          </w:tcPr>
          <w:p>
            <w:pPr>
              <w:spacing w:after="0"/>
              <w:rPr>
                <w:sz w:val="19"/>
                <w:szCs w:val="19"/>
                <w:color w:val="auto"/>
              </w:rPr>
            </w:pPr>
          </w:p>
        </w:tc>
        <w:tc>
          <w:tcPr>
            <w:tcW w:w="27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33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300"/>
          </w:cols>
          <w:pgMar w:left="360" w:top="1142" w:right="239" w:bottom="1440" w:gutter="0" w:footer="0" w:header="0"/>
        </w:sectPr>
      </w:pPr>
    </w:p>
    <w:bookmarkStart w:id="32" w:name="page33"/>
    <w:bookmarkEnd w:id="32"/>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00" w:lineRule="exact"/>
        <w:rPr>
          <w:sz w:val="20"/>
          <w:szCs w:val="20"/>
          <w:color w:val="auto"/>
        </w:rPr>
      </w:pPr>
    </w:p>
    <w:p>
      <w:pPr>
        <w:spacing w:after="0" w:line="294" w:lineRule="exact"/>
        <w:rPr>
          <w:sz w:val="20"/>
          <w:szCs w:val="20"/>
          <w:color w:val="auto"/>
        </w:rPr>
      </w:pPr>
    </w:p>
    <w:p>
      <w:pPr>
        <w:jc w:val="cente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9"/>
          <w:szCs w:val="19"/>
          <w:color w:val="auto"/>
        </w:rPr>
        <w:t>Jennifer Leyden</w:t>
      </w:r>
      <w:r>
        <w:rPr>
          <w:rFonts w:ascii="Times New Roman" w:cs="Times New Roman" w:eastAsia="Times New Roman" w:hAnsi="Times New Roman"/>
          <w:sz w:val="18"/>
          <w:szCs w:val="18"/>
          <w:color w:val="auto"/>
        </w:rPr>
        <w:t xml:space="preserve">, certify </w:t>
      </w:r>
      <w:r>
        <w:rPr>
          <w:rFonts w:ascii="Times New Roman" w:cs="Times New Roman" w:eastAsia="Times New Roman" w:hAnsi="Times New Roman"/>
          <w:sz w:val="21"/>
          <w:szCs w:val="21"/>
          <w:color w:val="auto"/>
        </w:rPr>
        <w:t>that:</w:t>
      </w:r>
    </w:p>
    <w:p>
      <w:pPr>
        <w:spacing w:after="0" w:line="267" w:lineRule="exact"/>
        <w:rPr>
          <w:sz w:val="20"/>
          <w:szCs w:val="20"/>
          <w:color w:val="auto"/>
        </w:rPr>
      </w:pPr>
    </w:p>
    <w:p>
      <w:pPr>
        <w:ind w:left="620" w:right="100" w:hanging="329"/>
        <w:spacing w:after="0" w:line="232" w:lineRule="auto"/>
        <w:tabs>
          <w:tab w:leader="none" w:pos="6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 have reviewed this Amendment No. 1 to the Annual Report on Form 10-K of Getty Images Holdings, Inc. for the year ended December 31, 2025; and</w:t>
      </w:r>
    </w:p>
    <w:p>
      <w:pPr>
        <w:spacing w:after="0" w:line="211" w:lineRule="exact"/>
        <w:rPr>
          <w:rFonts w:ascii="Times New Roman" w:cs="Times New Roman" w:eastAsia="Times New Roman" w:hAnsi="Times New Roman"/>
          <w:sz w:val="20"/>
          <w:szCs w:val="20"/>
          <w:color w:val="auto"/>
        </w:rPr>
      </w:pPr>
    </w:p>
    <w:p>
      <w:pPr>
        <w:jc w:val="both"/>
        <w:ind w:left="620" w:right="100" w:hanging="329"/>
        <w:spacing w:after="0" w:line="227" w:lineRule="auto"/>
        <w:tabs>
          <w:tab w:leader="none" w:pos="6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5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2026</w:t>
            </w:r>
          </w:p>
        </w:tc>
        <w:tc>
          <w:tcPr>
            <w:tcW w:w="27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Jennifer Leyden</w:t>
            </w:r>
          </w:p>
        </w:tc>
      </w:tr>
      <w:tr>
        <w:trPr>
          <w:trHeight w:val="218"/>
        </w:trPr>
        <w:tc>
          <w:tcPr>
            <w:tcW w:w="3340" w:type="dxa"/>
            <w:vAlign w:val="bottom"/>
          </w:tcPr>
          <w:p>
            <w:pPr>
              <w:spacing w:after="0"/>
              <w:rPr>
                <w:sz w:val="18"/>
                <w:szCs w:val="18"/>
                <w:color w:val="auto"/>
              </w:rPr>
            </w:pPr>
          </w:p>
        </w:tc>
        <w:tc>
          <w:tcPr>
            <w:tcW w:w="27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Leyden</w:t>
            </w:r>
          </w:p>
        </w:tc>
      </w:tr>
      <w:tr>
        <w:trPr>
          <w:trHeight w:val="229"/>
        </w:trPr>
        <w:tc>
          <w:tcPr>
            <w:tcW w:w="3340" w:type="dxa"/>
            <w:vAlign w:val="bottom"/>
          </w:tcPr>
          <w:p>
            <w:pPr>
              <w:spacing w:after="0"/>
              <w:rPr>
                <w:sz w:val="19"/>
                <w:szCs w:val="19"/>
                <w:color w:val="auto"/>
              </w:rPr>
            </w:pPr>
          </w:p>
        </w:tc>
        <w:tc>
          <w:tcPr>
            <w:tcW w:w="27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3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300"/>
      </w:cols>
      <w:pgMar w:left="360" w:top="11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o"/>
      <w:numFmt w:val="bullet"/>
      <w:start w:val="1"/>
    </w:lvl>
  </w:abstractNum>
  <w:abstractNum w:abstractNumId="1">
    <w:nsid w:val="6B68079A"/>
    <w:multiLevelType w:val="hybridMultilevel"/>
    <w:lvl w:ilvl="0">
      <w:lvlJc w:val="left"/>
      <w:lvlText w:val="(%1)"/>
      <w:numFmt w:val="decimal"/>
      <w:start w:val="206"/>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upperLetter"/>
      <w:start w:val="29"/>
    </w:lvl>
    <w:lvl w:ilvl="1">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lowerRoman"/>
      <w:start w:val="3"/>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3"/>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9"/>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upperLetter"/>
      <w:start w:val="2"/>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2026-04-27T16:25:35Z</dcterms:created>
  <dcterms:modified xsi:type="dcterms:W3CDTF">2026-04-27T16:25:35Z</dcterms:modified>
</cp:coreProperties>
</file>