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141-8k_getty.htm"/>
      <w:bookmarkStart w:id="1" w:name="ksea03071418k_getty"/>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9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Getty Images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930"/>
            <w:bookmarkEnd w:id="6"/>
            <w:r>
              <w:rPr>
                <w:rFonts w:ascii="Times New Roman;Times;Serif" w:hAnsi="Times New Roman;Times;Serif"/>
                <w:b/>
                <w:sz w:val="20"/>
              </w:rPr>
              <w:t>001-41453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87-3764229</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605 5th Ave S. Suite 400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Seattle, </w:t>
      </w:r>
      <w:bookmarkStart w:id="10" w:name="xdx_909_edei--EntityAddressStateOrProvin"/>
      <w:bookmarkEnd w:id="10"/>
      <w:r>
        <w:rPr>
          <w:rFonts w:ascii="Times New Roman;Times;Serif" w:hAnsi="Times New Roman;Times;Serif"/>
          <w:b/>
          <w:i w:val="false"/>
          <w:caps w:val="false"/>
          <w:smallCaps w:val="false"/>
          <w:sz w:val="20"/>
        </w:rPr>
        <w:t xml:space="preserve">WA </w:t>
      </w:r>
      <w:bookmarkStart w:id="11" w:name="xdx_908_edei--EntityAddressPostalZipCode"/>
      <w:bookmarkEnd w:id="11"/>
      <w:r>
        <w:rPr>
          <w:rFonts w:ascii="Times New Roman;Times;Serif" w:hAnsi="Times New Roman;Times;Serif"/>
          <w:b/>
          <w:i w:val="false"/>
          <w:caps w:val="false"/>
          <w:smallCaps w:val="false"/>
          <w:sz w:val="20"/>
        </w:rPr>
        <w:t>98104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D_edei--CityAreaCode_c20260930__20"/>
      <w:bookmarkEnd w:id="12"/>
      <w:r>
        <w:rPr>
          <w:rFonts w:ascii="Times New Roman;Times;Serif" w:hAnsi="Times New Roman;Times;Serif"/>
          <w:b/>
          <w:i w:val="false"/>
          <w:caps w:val="false"/>
          <w:smallCaps w:val="false"/>
          <w:sz w:val="20"/>
        </w:rPr>
        <w:t xml:space="preserve">206) </w:t>
      </w:r>
      <w:bookmarkStart w:id="13" w:name="xdx_90A_edei--LocalPhoneNumber_c20260930"/>
      <w:bookmarkEnd w:id="13"/>
      <w:r>
        <w:rPr>
          <w:rFonts w:ascii="Times New Roman;Times;Serif" w:hAnsi="Times New Roman;Times;Serif"/>
          <w:b/>
          <w:i w:val="false"/>
          <w:caps w:val="false"/>
          <w:smallCaps w:val="false"/>
          <w:sz w:val="20"/>
        </w:rPr>
        <w:t>925-5000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E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7_edei--SolicitingMaterial_c202609"/>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shd w:fill="FFFFFF" w:val="clear"/>
        <w:tblLayout w:type="fixed"/>
        <w:tblCellMar>
          <w:top w:w="0" w:type="dxa"/>
          <w:left w:w="0" w:type="dxa"/>
          <w:bottom w:w="28" w:type="dxa"/>
          <w:right w:w="0" w:type="dxa"/>
        </w:tblCellMar>
      </w:tblPr>
      <w:tblGrid>
        <w:gridCol w:w="1955"/>
        <w:gridCol w:w="60"/>
        <w:gridCol w:w="1610"/>
        <w:gridCol w:w="60"/>
        <w:gridCol w:w="3845"/>
      </w:tblGrid>
      <w:tr>
        <w:trPr/>
        <w:tc>
          <w:tcPr>
            <w:tcW w:w="195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4_edei--Security12bTitle_c20260930"/>
            <w:bookmarkEnd w:id="18"/>
            <w:r>
              <w:rPr>
                <w:rFonts w:ascii="Times New Roman;Times;Serif" w:hAnsi="Times New Roman;Times;Serif"/>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7_edei--TradingSymbol_c20260930__2"/>
            <w:bookmarkEnd w:id="19"/>
            <w:r>
              <w:rPr>
                <w:rFonts w:ascii="Times New Roman;Times;Serif" w:hAnsi="Times New Roman;Times;Serif"/>
                <w:sz w:val="20"/>
              </w:rPr>
              <w:t>GETY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A_edei--SecurityExchangeName_c2026"/>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7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Disclosure.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Getty Images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elected to rely on its available 30-day grace periods with respect to interest payments due on September 1, 2026 for its 9.750% Senior Notes due 2027 (the “</w:t>
      </w:r>
      <w:r>
        <w:rPr>
          <w:rFonts w:ascii="Times New Roman;Times;Serif" w:hAnsi="Times New Roman;Times;Serif"/>
          <w:b w:val="false"/>
          <w:i w:val="false"/>
          <w:caps w:val="false"/>
          <w:smallCaps w:val="false"/>
          <w:sz w:val="20"/>
          <w:u w:val="single"/>
        </w:rPr>
        <w:t>9.750% Senior Unsecured Notes</w:t>
      </w:r>
      <w:r>
        <w:rPr>
          <w:rFonts w:ascii="Times New Roman;Times;Serif" w:hAnsi="Times New Roman;Times;Serif"/>
          <w:b w:val="false"/>
          <w:i w:val="false"/>
          <w:caps w:val="false"/>
          <w:smallCaps w:val="false"/>
          <w:sz w:val="20"/>
        </w:rPr>
        <w:t>”) and 14.000% Senior Notes due 2028 (the “</w:t>
      </w:r>
      <w:r>
        <w:rPr>
          <w:rFonts w:ascii="Times New Roman;Times;Serif" w:hAnsi="Times New Roman;Times;Serif"/>
          <w:b w:val="false"/>
          <w:i w:val="false"/>
          <w:caps w:val="false"/>
          <w:smallCaps w:val="false"/>
          <w:sz w:val="20"/>
          <w:u w:val="single"/>
        </w:rPr>
        <w:t>14.000% Senior Unsecured Notes</w:t>
      </w:r>
      <w:r>
        <w:rPr>
          <w:rFonts w:ascii="Times New Roman;Times;Serif" w:hAnsi="Times New Roman;Times;Serif"/>
          <w:b w:val="false"/>
          <w:i w:val="false"/>
          <w:caps w:val="false"/>
          <w:smallCaps w:val="false"/>
          <w:sz w:val="20"/>
        </w:rPr>
        <w:t>” and together with the 9.750% Senior Unsecured Notes, the “</w:t>
      </w:r>
      <w:r>
        <w:rPr>
          <w:rFonts w:ascii="Times New Roman;Times;Serif" w:hAnsi="Times New Roman;Times;Serif"/>
          <w:b w:val="false"/>
          <w:i w:val="false"/>
          <w:caps w:val="false"/>
          <w:smallCaps w:val="false"/>
          <w:sz w:val="20"/>
          <w:u w:val="single"/>
        </w:rPr>
        <w:t>Senior Unsecured Notes</w:t>
      </w:r>
      <w:r>
        <w:rPr>
          <w:rFonts w:ascii="Times New Roman;Times;Serif" w:hAnsi="Times New Roman;Times;Serif"/>
          <w:b w:val="false"/>
          <w:i w:val="false"/>
          <w:caps w:val="false"/>
          <w:smallCaps w:val="false"/>
          <w:sz w:val="20"/>
        </w:rPr>
        <w:t>”). On September 30, 2026, the Company made the interest payments with respect to the Senior Unsecured Notes. Because the interest payments were made within the applicable 30-day grace periods, no “Event of Default” occurred under the indentures governing the Senior Unsecured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and its advisors have been evaluating strategic financing alternatives and balance sheet management initiatives, which includes an active and progressing dialogue with its key debt and equity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report that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our ability to successfully identify and implement any potential strategic alternatives in a timely manner or at all, and the perceived uncertainties related to the Company, the risks associated with our expression of substantial doubt about our ability to continue as a going concern, our inability to continue to license third-party content and offer relevant quality and diversity of content to satisfy customer needs; our ability to attract new customers and retain and motivate an increase in spending by our existing customers; the user experience of our customers on our websites; the extent to which we are able to maintain and expand the breadth and quality of our content library through content licensed from third-party suppliers, content acquisitions and imagery captured by our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(“AI”);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vulnerabilities; the risk that any prolonged strike by, or lockout of, one or more of the unions that provide personnel essential to the production of films or television programs could further impact our entertainment business; the inability to expand our operations into new products, services and technologies and to increase customer and supplier awareness of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devaluation, the impact of recent bank failures on the marketplace and the ability to access credit and significant political or civil disturbances in international markets where we conduct business; the risk that claims, judgments, lawsuits and other proceedings that have been, or may be, instituted against us or our predecessors could adversely affect our business; the inability to maintain the listing of our Class A common stock on the New York Stock Exchange; volatility in our stock price and in the liquidity of the trading market for our Class A common stock; changes in applicable laws or regulations;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our ability to obtain additional capital on commercially reasonable terms; the risks associated with being an “emerging growth company” and “smaller reporting company” within the meaning of the U.S. securities laws; risks associated with our reliance on information technology in critical areas of our operations; our inability to pay dividends for the foreseeable future; the risks associated with additional issuances of Class A common stock without stockholder approval; costs related to operating as a public company; and other risks and uncertainties identified in “Item 1A. Risk Factors” of our most recently filed Annual Report on Form 10-K for the year ended December 31, 2025, filed with the Securities and Exchange Commission (“SEC”) on March 16, 2026, as amended by Amendment No. 1 on Form 10-K/A filed with the SEC on April 27, 2026 (the “2025 Form 10-K”) and in our other filings with the SEC. If any of these risks materialize or our assumptions prove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that could cause actual results to differ from those implied by the forward-looking statements in this report are more fully described under the heading “Item 1A. Risk Factors” in our 2025 Form 10-K and in our other filings with the SEC. The risks described under the heading “Item 1A. Risk Factors” in our 2025 Form 10-K and in our other filings with the SEC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5040" w:right="0" w:hanging="0"/>
        <w:jc w:val="left"/>
        <w:rPr>
          <w:caps w:val="false"/>
          <w:smallCaps w:val="false"/>
        </w:rPr>
      </w:pPr>
      <w:r>
        <w:rPr>
          <w:caps w:val="false"/>
          <w:smallCaps w:val="false"/>
        </w:rPr>
        <w:t> </w:t>
      </w:r>
    </w:p>
    <w:tbl>
      <w:tblPr>
        <w:tblW w:w="7980" w:type="dxa"/>
        <w:jc w:val="left"/>
        <w:tblInd w:w="0" w:type="dxa"/>
        <w:tblLayout w:type="fixed"/>
        <w:tblCellMar>
          <w:top w:w="0" w:type="dxa"/>
          <w:left w:w="0" w:type="dxa"/>
          <w:bottom w:w="0" w:type="dxa"/>
          <w:right w:w="0" w:type="dxa"/>
        </w:tblCellMar>
      </w:tblPr>
      <w:tblGrid>
        <w:gridCol w:w="2135"/>
        <w:gridCol w:w="590"/>
        <w:gridCol w:w="5255"/>
      </w:tblGrid>
      <w:tr>
        <w:trPr/>
        <w:tc>
          <w:tcPr>
            <w:tcW w:w="213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GETTY IMAGES HOLDINGS, INC.</w:t>
            </w:r>
          </w:p>
        </w:tc>
      </w:tr>
      <w:tr>
        <w:trPr/>
        <w:tc>
          <w:tcPr>
            <w:tcW w:w="213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30,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Kjelti Kellough</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Kjelti Kellough</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spacing w:before="0" w:after="283"/>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1754</Words>
  <Characters>9761</Characters>
  <CharactersWithSpaces>11515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