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April 2,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Getty Images Holdings,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3" w:lineRule="exact"/>
        <w:rPr>
          <w:sz w:val="24"/>
          <w:szCs w:val="24"/>
          <w:color w:val="auto"/>
        </w:rPr>
      </w:pPr>
    </w:p>
    <w:tbl>
      <w:tblPr>
        <w:tblLayout w:type="fixed"/>
        <w:tblInd w:w="820" w:type="dxa"/>
        <w:tblCellMar>
          <w:top w:w="0" w:type="dxa"/>
          <w:left w:w="0" w:type="dxa"/>
          <w:bottom w:w="0" w:type="dxa"/>
          <w:right w:w="0" w:type="dxa"/>
        </w:tblCellMar>
      </w:tblPr>
      <w:tr>
        <w:trPr>
          <w:trHeight w:val="234"/>
        </w:trPr>
        <w:tc>
          <w:tcPr>
            <w:tcW w:w="22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3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001-41453</w:t>
            </w:r>
          </w:p>
        </w:tc>
        <w:tc>
          <w:tcPr>
            <w:tcW w:w="16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87-3764229</w:t>
            </w:r>
          </w:p>
        </w:tc>
      </w:tr>
      <w:tr>
        <w:trPr>
          <w:trHeight w:val="180"/>
        </w:trPr>
        <w:tc>
          <w:tcPr>
            <w:tcW w:w="2220" w:type="dxa"/>
            <w:vAlign w:val="bottom"/>
          </w:tcPr>
          <w:p>
            <w:pPr>
              <w:jc w:val="center"/>
              <w:ind w:right="30"/>
              <w:spacing w:after="0" w:line="181"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5340" w:type="dxa"/>
            <w:vAlign w:val="bottom"/>
          </w:tcPr>
          <w:p>
            <w:pPr>
              <w:ind w:left="2060"/>
              <w:spacing w:after="0" w:line="181" w:lineRule="exact"/>
              <w:rPr>
                <w:sz w:val="20"/>
                <w:szCs w:val="20"/>
                <w:color w:val="auto"/>
              </w:rPr>
            </w:pPr>
            <w:r>
              <w:rPr>
                <w:rFonts w:ascii="Times New Roman" w:cs="Times New Roman" w:eastAsia="Times New Roman" w:hAnsi="Times New Roman"/>
                <w:sz w:val="18"/>
                <w:szCs w:val="18"/>
                <w:color w:val="auto"/>
              </w:rPr>
              <w:t>(Commission</w:t>
            </w:r>
          </w:p>
        </w:tc>
        <w:tc>
          <w:tcPr>
            <w:tcW w:w="1660" w:type="dxa"/>
            <w:vAlign w:val="bottom"/>
          </w:tcPr>
          <w:p>
            <w:pPr>
              <w:ind w:left="420"/>
              <w:spacing w:after="0" w:line="18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2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incorporation)</w:t>
            </w:r>
          </w:p>
        </w:tc>
        <w:tc>
          <w:tcPr>
            <w:tcW w:w="53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File Number)</w:t>
            </w:r>
          </w:p>
        </w:tc>
        <w:tc>
          <w:tcPr>
            <w:tcW w:w="16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05"/>
        </w:trPr>
        <w:tc>
          <w:tcPr>
            <w:tcW w:w="2220" w:type="dxa"/>
            <w:vAlign w:val="bottom"/>
          </w:tcPr>
          <w:p>
            <w:pPr>
              <w:spacing w:after="0"/>
              <w:rPr>
                <w:sz w:val="24"/>
                <w:szCs w:val="24"/>
                <w:color w:val="auto"/>
              </w:rPr>
            </w:pPr>
          </w:p>
        </w:tc>
        <w:tc>
          <w:tcPr>
            <w:tcW w:w="53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605 5th Ave S. Suite 400</w:t>
            </w:r>
          </w:p>
        </w:tc>
        <w:tc>
          <w:tcPr>
            <w:tcW w:w="1660" w:type="dxa"/>
            <w:vAlign w:val="bottom"/>
          </w:tcPr>
          <w:p>
            <w:pPr>
              <w:spacing w:after="0"/>
              <w:rPr>
                <w:sz w:val="24"/>
                <w:szCs w:val="24"/>
                <w:color w:val="auto"/>
              </w:rPr>
            </w:pPr>
          </w:p>
        </w:tc>
      </w:tr>
      <w:tr>
        <w:trPr>
          <w:trHeight w:val="220"/>
        </w:trPr>
        <w:tc>
          <w:tcPr>
            <w:tcW w:w="2220" w:type="dxa"/>
            <w:vAlign w:val="bottom"/>
          </w:tcPr>
          <w:p>
            <w:pPr>
              <w:spacing w:after="0"/>
              <w:rPr>
                <w:sz w:val="19"/>
                <w:szCs w:val="19"/>
                <w:color w:val="auto"/>
              </w:rPr>
            </w:pPr>
          </w:p>
        </w:tc>
        <w:tc>
          <w:tcPr>
            <w:tcW w:w="53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Seattle, WA 98104</w:t>
            </w:r>
          </w:p>
        </w:tc>
        <w:tc>
          <w:tcPr>
            <w:tcW w:w="1660" w:type="dxa"/>
            <w:vAlign w:val="bottom"/>
          </w:tcPr>
          <w:p>
            <w:pPr>
              <w:spacing w:after="0"/>
              <w:rPr>
                <w:sz w:val="19"/>
                <w:szCs w:val="19"/>
                <w:color w:val="auto"/>
              </w:rPr>
            </w:pPr>
          </w:p>
        </w:tc>
      </w:tr>
      <w:tr>
        <w:trPr>
          <w:trHeight w:val="234"/>
        </w:trPr>
        <w:tc>
          <w:tcPr>
            <w:tcW w:w="2220" w:type="dxa"/>
            <w:vAlign w:val="bottom"/>
          </w:tcPr>
          <w:p>
            <w:pPr>
              <w:spacing w:after="0"/>
              <w:rPr>
                <w:sz w:val="20"/>
                <w:szCs w:val="20"/>
                <w:color w:val="auto"/>
              </w:rPr>
            </w:pPr>
          </w:p>
        </w:tc>
        <w:tc>
          <w:tcPr>
            <w:tcW w:w="53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(Address of Principal Executive Offices, including Zip Code)</w:t>
            </w:r>
          </w:p>
        </w:tc>
        <w:tc>
          <w:tcPr>
            <w:tcW w:w="1660" w:type="dxa"/>
            <w:vAlign w:val="bottom"/>
          </w:tcPr>
          <w:p>
            <w:pPr>
              <w:spacing w:after="0"/>
              <w:rPr>
                <w:sz w:val="20"/>
                <w:szCs w:val="20"/>
                <w:color w:val="auto"/>
              </w:rPr>
            </w:pPr>
          </w:p>
        </w:tc>
      </w:tr>
      <w:tr>
        <w:trPr>
          <w:trHeight w:val="351"/>
        </w:trPr>
        <w:tc>
          <w:tcPr>
            <w:tcW w:w="2220" w:type="dxa"/>
            <w:vAlign w:val="bottom"/>
          </w:tcPr>
          <w:p>
            <w:pPr>
              <w:spacing w:after="0"/>
              <w:rPr>
                <w:sz w:val="24"/>
                <w:szCs w:val="24"/>
                <w:color w:val="auto"/>
              </w:rPr>
            </w:pPr>
          </w:p>
        </w:tc>
        <w:tc>
          <w:tcPr>
            <w:tcW w:w="53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(206) 925-5000</w:t>
            </w:r>
          </w:p>
        </w:tc>
        <w:tc>
          <w:tcPr>
            <w:tcW w:w="1660" w:type="dxa"/>
            <w:vAlign w:val="bottom"/>
          </w:tcPr>
          <w:p>
            <w:pPr>
              <w:spacing w:after="0"/>
              <w:rPr>
                <w:sz w:val="24"/>
                <w:szCs w:val="24"/>
                <w:color w:val="auto"/>
              </w:rPr>
            </w:pPr>
          </w:p>
        </w:tc>
      </w:tr>
      <w:tr>
        <w:trPr>
          <w:trHeight w:val="346"/>
        </w:trPr>
        <w:tc>
          <w:tcPr>
            <w:tcW w:w="2220" w:type="dxa"/>
            <w:vAlign w:val="bottom"/>
          </w:tcPr>
          <w:p>
            <w:pPr>
              <w:spacing w:after="0"/>
              <w:rPr>
                <w:sz w:val="24"/>
                <w:szCs w:val="24"/>
                <w:color w:val="auto"/>
              </w:rPr>
            </w:pPr>
          </w:p>
        </w:tc>
        <w:tc>
          <w:tcPr>
            <w:tcW w:w="53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660" w:type="dxa"/>
            <w:vAlign w:val="bottom"/>
          </w:tcPr>
          <w:p>
            <w:pPr>
              <w:spacing w:after="0"/>
              <w:rPr>
                <w:sz w:val="24"/>
                <w:szCs w:val="24"/>
                <w:color w:val="auto"/>
              </w:rPr>
            </w:pPr>
          </w:p>
        </w:tc>
      </w:tr>
      <w:tr>
        <w:trPr>
          <w:trHeight w:val="234"/>
        </w:trPr>
        <w:tc>
          <w:tcPr>
            <w:tcW w:w="2220" w:type="dxa"/>
            <w:vAlign w:val="bottom"/>
          </w:tcPr>
          <w:p>
            <w:pPr>
              <w:spacing w:after="0"/>
              <w:rPr>
                <w:sz w:val="20"/>
                <w:szCs w:val="20"/>
                <w:color w:val="auto"/>
              </w:rPr>
            </w:pPr>
          </w:p>
        </w:tc>
        <w:tc>
          <w:tcPr>
            <w:tcW w:w="53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166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6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21" w:lineRule="exact"/>
        <w:rPr>
          <w:sz w:val="24"/>
          <w:szCs w:val="24"/>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39" w:lineRule="exact"/>
        <w:rPr>
          <w:sz w:val="24"/>
          <w:szCs w:val="24"/>
          <w:color w:val="auto"/>
        </w:rPr>
      </w:pPr>
    </w:p>
    <w:p>
      <w:pPr>
        <w:ind w:left="360" w:hanging="334"/>
        <w:spacing w:after="0"/>
        <w:tabs>
          <w:tab w:leader="none" w:pos="36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38"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38"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 4(c))</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680" w:type="dxa"/>
            <w:vAlign w:val="bottom"/>
            <w:gridSpan w:val="3"/>
            <w:vMerge w:val="restart"/>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840" w:type="dxa"/>
            <w:vAlign w:val="bottom"/>
            <w:gridSpan w:val="2"/>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c>
          <w:tcPr>
            <w:tcW w:w="0" w:type="dxa"/>
            <w:vAlign w:val="bottom"/>
          </w:tcPr>
          <w:p>
            <w:pPr>
              <w:spacing w:after="0"/>
              <w:rPr>
                <w:sz w:val="1"/>
                <w:szCs w:val="1"/>
                <w:color w:val="auto"/>
              </w:rPr>
            </w:pPr>
          </w:p>
        </w:tc>
      </w:tr>
      <w:tr>
        <w:trPr>
          <w:trHeight w:val="243"/>
        </w:trPr>
        <w:tc>
          <w:tcPr>
            <w:tcW w:w="4680" w:type="dxa"/>
            <w:vAlign w:val="bottom"/>
            <w:gridSpan w:val="3"/>
            <w:vMerge w:val="continue"/>
          </w:tcPr>
          <w:p>
            <w:pPr>
              <w:spacing w:after="0"/>
              <w:rPr>
                <w:sz w:val="21"/>
                <w:szCs w:val="21"/>
                <w:color w:val="auto"/>
              </w:rPr>
            </w:pPr>
          </w:p>
        </w:tc>
        <w:tc>
          <w:tcPr>
            <w:tcW w:w="2840" w:type="dxa"/>
            <w:vAlign w:val="bottom"/>
            <w:gridSpan w:val="2"/>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c>
          <w:tcPr>
            <w:tcW w:w="0" w:type="dxa"/>
            <w:vAlign w:val="bottom"/>
          </w:tcPr>
          <w:p>
            <w:pPr>
              <w:spacing w:after="0"/>
              <w:rPr>
                <w:sz w:val="1"/>
                <w:szCs w:val="1"/>
                <w:color w:val="auto"/>
              </w:rPr>
            </w:pPr>
          </w:p>
        </w:tc>
      </w:tr>
      <w:tr>
        <w:trPr>
          <w:trHeight w:val="232"/>
        </w:trPr>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 A Common Stock</w:t>
            </w:r>
          </w:p>
        </w:tc>
        <w:tc>
          <w:tcPr>
            <w:tcW w:w="10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760" w:type="dxa"/>
            <w:vAlign w:val="bottom"/>
            <w:tcBorders>
              <w:top w:val="single" w:sz="8" w:color="auto"/>
            </w:tcBorders>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rPr>
              <w:t>GETY</w:t>
            </w:r>
          </w:p>
        </w:tc>
        <w:tc>
          <w:tcPr>
            <w:tcW w:w="80" w:type="dxa"/>
            <w:vAlign w:val="bottom"/>
          </w:tcPr>
          <w:p>
            <w:pPr>
              <w:spacing w:after="0"/>
              <w:rPr>
                <w:sz w:val="20"/>
                <w:szCs w:val="20"/>
                <w:color w:val="auto"/>
              </w:rPr>
            </w:pPr>
          </w:p>
        </w:tc>
        <w:tc>
          <w:tcPr>
            <w:tcW w:w="3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c>
          <w:tcPr>
            <w:tcW w:w="0" w:type="dxa"/>
            <w:vAlign w:val="bottom"/>
          </w:tcPr>
          <w:p>
            <w:pPr>
              <w:spacing w:after="0"/>
              <w:rPr>
                <w:sz w:val="1"/>
                <w:szCs w:val="1"/>
                <w:color w:val="auto"/>
              </w:rPr>
            </w:pPr>
          </w:p>
        </w:tc>
      </w:tr>
    </w:tbl>
    <w:p>
      <w:pPr>
        <w:spacing w:after="0" w:line="202"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x</w:t>
      </w:r>
    </w:p>
    <w:p>
      <w:pPr>
        <w:spacing w:after="0" w:line="144"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775970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4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212529"/>
        </w:rPr>
        <w:t>As previously disclosed, on January 6, 2025, Getty Images Holdings, Inc., a Delaware corporation (“</w:t>
      </w:r>
      <w:r>
        <w:rPr>
          <w:rFonts w:ascii="Times New Roman" w:cs="Times New Roman" w:eastAsia="Times New Roman" w:hAnsi="Times New Roman"/>
          <w:sz w:val="18"/>
          <w:szCs w:val="18"/>
          <w:u w:val="single" w:color="auto"/>
          <w:color w:val="212529"/>
        </w:rPr>
        <w:t>Getty Images</w:t>
      </w:r>
      <w:r>
        <w:rPr>
          <w:rFonts w:ascii="Times New Roman" w:cs="Times New Roman" w:eastAsia="Times New Roman" w:hAnsi="Times New Roman"/>
          <w:sz w:val="18"/>
          <w:szCs w:val="18"/>
          <w:color w:val="212529"/>
        </w:rPr>
        <w:t>”), entered into an Agreement and Plan of Merger, dated as of January 6, 2025 (the “</w:t>
      </w:r>
      <w:r>
        <w:rPr>
          <w:rFonts w:ascii="Times New Roman" w:cs="Times New Roman" w:eastAsia="Times New Roman" w:hAnsi="Times New Roman"/>
          <w:sz w:val="18"/>
          <w:szCs w:val="18"/>
          <w:u w:val="single" w:color="auto"/>
          <w:color w:val="212529"/>
        </w:rPr>
        <w:t>Merger Agreement</w:t>
      </w:r>
      <w:r>
        <w:rPr>
          <w:rFonts w:ascii="Times New Roman" w:cs="Times New Roman" w:eastAsia="Times New Roman" w:hAnsi="Times New Roman"/>
          <w:sz w:val="18"/>
          <w:szCs w:val="18"/>
          <w:color w:val="212529"/>
        </w:rPr>
        <w:t>”), by and among Getty Images, Grammy Merger Sub 2, Inc., a Delaware corporation and wholly owned subsidiary of Getty Images (“</w:t>
      </w:r>
      <w:r>
        <w:rPr>
          <w:rFonts w:ascii="Times New Roman" w:cs="Times New Roman" w:eastAsia="Times New Roman" w:hAnsi="Times New Roman"/>
          <w:sz w:val="18"/>
          <w:szCs w:val="18"/>
          <w:u w:val="single" w:color="auto"/>
          <w:color w:val="212529"/>
        </w:rPr>
        <w:t>Merger Sub 2</w:t>
      </w:r>
      <w:r>
        <w:rPr>
          <w:rFonts w:ascii="Times New Roman" w:cs="Times New Roman" w:eastAsia="Times New Roman" w:hAnsi="Times New Roman"/>
          <w:sz w:val="18"/>
          <w:szCs w:val="18"/>
          <w:color w:val="212529"/>
        </w:rPr>
        <w:t>”), Grammy Merger Sub 3, LLC, a Delaware limited liability company and a direct wholly owned subsidiary of Getty Images (“</w:t>
      </w:r>
      <w:r>
        <w:rPr>
          <w:rFonts w:ascii="Times New Roman" w:cs="Times New Roman" w:eastAsia="Times New Roman" w:hAnsi="Times New Roman"/>
          <w:sz w:val="18"/>
          <w:szCs w:val="18"/>
          <w:u w:val="single" w:color="auto"/>
          <w:color w:val="212529"/>
        </w:rPr>
        <w:t>Merger Sub 3</w:t>
      </w:r>
      <w:r>
        <w:rPr>
          <w:rFonts w:ascii="Times New Roman" w:cs="Times New Roman" w:eastAsia="Times New Roman" w:hAnsi="Times New Roman"/>
          <w:sz w:val="18"/>
          <w:szCs w:val="18"/>
          <w:color w:val="212529"/>
        </w:rPr>
        <w:t>”), Shutterstock, Inc., a Delaware corporation (“</w:t>
      </w:r>
      <w:r>
        <w:rPr>
          <w:rFonts w:ascii="Times New Roman" w:cs="Times New Roman" w:eastAsia="Times New Roman" w:hAnsi="Times New Roman"/>
          <w:sz w:val="18"/>
          <w:szCs w:val="18"/>
          <w:u w:val="single" w:color="auto"/>
          <w:color w:val="212529"/>
        </w:rPr>
        <w:t>Shutterstock</w:t>
      </w:r>
      <w:r>
        <w:rPr>
          <w:rFonts w:ascii="Times New Roman" w:cs="Times New Roman" w:eastAsia="Times New Roman" w:hAnsi="Times New Roman"/>
          <w:sz w:val="18"/>
          <w:szCs w:val="18"/>
          <w:color w:val="212529"/>
        </w:rPr>
        <w:t>”), Grammy HoldCo, Inc., a Delaware corporation and a direct wholly owned subsidiary of Shutterstock (“</w:t>
      </w:r>
      <w:r>
        <w:rPr>
          <w:rFonts w:ascii="Times New Roman" w:cs="Times New Roman" w:eastAsia="Times New Roman" w:hAnsi="Times New Roman"/>
          <w:sz w:val="18"/>
          <w:szCs w:val="18"/>
          <w:u w:val="single" w:color="auto"/>
          <w:color w:val="212529"/>
        </w:rPr>
        <w:t>HoldCo</w:t>
      </w:r>
      <w:r>
        <w:rPr>
          <w:rFonts w:ascii="Times New Roman" w:cs="Times New Roman" w:eastAsia="Times New Roman" w:hAnsi="Times New Roman"/>
          <w:sz w:val="18"/>
          <w:szCs w:val="18"/>
          <w:color w:val="212529"/>
        </w:rPr>
        <w:t>”), and Grammy Merger Sub One, Inc., Delaware corporation and a direct wholly owned subsidiary of HoldCo (“</w:t>
      </w:r>
      <w:r>
        <w:rPr>
          <w:rFonts w:ascii="Times New Roman" w:cs="Times New Roman" w:eastAsia="Times New Roman" w:hAnsi="Times New Roman"/>
          <w:sz w:val="18"/>
          <w:szCs w:val="18"/>
          <w:u w:val="single" w:color="auto"/>
          <w:color w:val="212529"/>
        </w:rPr>
        <w:t>Merger Sub 1</w:t>
      </w:r>
      <w:r>
        <w:rPr>
          <w:rFonts w:ascii="Times New Roman" w:cs="Times New Roman" w:eastAsia="Times New Roman" w:hAnsi="Times New Roman"/>
          <w:sz w:val="18"/>
          <w:szCs w:val="18"/>
          <w:color w:val="212529"/>
        </w:rPr>
        <w:t>”), pursuant to which, subject to the terms and conditions set forth therein, (a) Merger Sub 1 will be merged with and into Shutterstock, with Shutterstock surviving such merger as a wholly owned subsidiary of HoldCo (the “</w:t>
      </w:r>
      <w:r>
        <w:rPr>
          <w:rFonts w:ascii="Times New Roman" w:cs="Times New Roman" w:eastAsia="Times New Roman" w:hAnsi="Times New Roman"/>
          <w:sz w:val="18"/>
          <w:szCs w:val="18"/>
          <w:u w:val="single" w:color="auto"/>
          <w:color w:val="212529"/>
        </w:rPr>
        <w:t>First Merger</w:t>
      </w:r>
      <w:r>
        <w:rPr>
          <w:rFonts w:ascii="Times New Roman" w:cs="Times New Roman" w:eastAsia="Times New Roman" w:hAnsi="Times New Roman"/>
          <w:sz w:val="18"/>
          <w:szCs w:val="18"/>
          <w:color w:val="212529"/>
        </w:rPr>
        <w:t>”), immediately followed by a conversion of Shutterstock into a Delaware limited liability company (the “</w:t>
      </w:r>
      <w:r>
        <w:rPr>
          <w:rFonts w:ascii="Times New Roman" w:cs="Times New Roman" w:eastAsia="Times New Roman" w:hAnsi="Times New Roman"/>
          <w:sz w:val="18"/>
          <w:szCs w:val="18"/>
          <w:u w:val="single" w:color="auto"/>
          <w:color w:val="212529"/>
        </w:rPr>
        <w:t>LLC Conversion</w:t>
      </w:r>
      <w:r>
        <w:rPr>
          <w:rFonts w:ascii="Times New Roman" w:cs="Times New Roman" w:eastAsia="Times New Roman" w:hAnsi="Times New Roman"/>
          <w:sz w:val="18"/>
          <w:szCs w:val="18"/>
          <w:color w:val="212529"/>
        </w:rPr>
        <w:t>”), (b) Merger Sub 2 will be merged with and into Holdco (the “</w:t>
      </w:r>
      <w:r>
        <w:rPr>
          <w:rFonts w:ascii="Times New Roman" w:cs="Times New Roman" w:eastAsia="Times New Roman" w:hAnsi="Times New Roman"/>
          <w:sz w:val="18"/>
          <w:szCs w:val="18"/>
          <w:u w:val="single" w:color="auto"/>
          <w:color w:val="212529"/>
        </w:rPr>
        <w:t>Second Merger</w:t>
      </w:r>
      <w:r>
        <w:rPr>
          <w:rFonts w:ascii="Times New Roman" w:cs="Times New Roman" w:eastAsia="Times New Roman" w:hAnsi="Times New Roman"/>
          <w:sz w:val="18"/>
          <w:szCs w:val="18"/>
          <w:color w:val="212529"/>
        </w:rPr>
        <w:t>”), with HoldCo surviving the Second Merger as a wholly owned subsidiary of Getty Images and (c) immediately after the Second Merger, HoldCo will be merged with and into Merger Sub 3 (the “</w:t>
      </w:r>
      <w:r>
        <w:rPr>
          <w:rFonts w:ascii="Times New Roman" w:cs="Times New Roman" w:eastAsia="Times New Roman" w:hAnsi="Times New Roman"/>
          <w:sz w:val="18"/>
          <w:szCs w:val="18"/>
          <w:u w:val="single" w:color="auto"/>
          <w:color w:val="212529"/>
        </w:rPr>
        <w:t>Third Merger</w:t>
      </w:r>
      <w:r>
        <w:rPr>
          <w:rFonts w:ascii="Times New Roman" w:cs="Times New Roman" w:eastAsia="Times New Roman" w:hAnsi="Times New Roman"/>
          <w:sz w:val="18"/>
          <w:szCs w:val="18"/>
          <w:color w:val="212529"/>
        </w:rPr>
        <w:t>”, together with the First Merger, the LLC Conversion and the Second Merger, the “</w:t>
      </w:r>
      <w:r>
        <w:rPr>
          <w:rFonts w:ascii="Times New Roman" w:cs="Times New Roman" w:eastAsia="Times New Roman" w:hAnsi="Times New Roman"/>
          <w:sz w:val="18"/>
          <w:szCs w:val="18"/>
          <w:u w:val="single" w:color="auto"/>
          <w:color w:val="212529"/>
        </w:rPr>
        <w:t>Merger</w:t>
      </w:r>
      <w:r>
        <w:rPr>
          <w:rFonts w:ascii="Times New Roman" w:cs="Times New Roman" w:eastAsia="Times New Roman" w:hAnsi="Times New Roman"/>
          <w:sz w:val="18"/>
          <w:szCs w:val="18"/>
          <w:color w:val="212529"/>
        </w:rPr>
        <w:t>”), with Merger Sub 3 surviving the Third Merger as a wholly owned subsidiary of Getty Images.</w:t>
      </w:r>
    </w:p>
    <w:p>
      <w:pPr>
        <w:spacing w:after="0" w:line="2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12529"/>
        </w:rPr>
        <w:t>On April 2, 2025, Getty Images and Shutterstock announced the companies have each received a Request for Additional Information and Documentary Material (the “</w:t>
      </w:r>
      <w:r>
        <w:rPr>
          <w:rFonts w:ascii="Times New Roman" w:cs="Times New Roman" w:eastAsia="Times New Roman" w:hAnsi="Times New Roman"/>
          <w:sz w:val="18"/>
          <w:szCs w:val="18"/>
          <w:u w:val="single" w:color="auto"/>
          <w:color w:val="212529"/>
        </w:rPr>
        <w:t>Second Request</w:t>
      </w:r>
      <w:r>
        <w:rPr>
          <w:rFonts w:ascii="Times New Roman" w:cs="Times New Roman" w:eastAsia="Times New Roman" w:hAnsi="Times New Roman"/>
          <w:sz w:val="18"/>
          <w:szCs w:val="18"/>
          <w:color w:val="212529"/>
        </w:rPr>
        <w:t>”) from the U.S. Department of Justice (the “</w:t>
      </w:r>
      <w:r>
        <w:rPr>
          <w:rFonts w:ascii="Times New Roman" w:cs="Times New Roman" w:eastAsia="Times New Roman" w:hAnsi="Times New Roman"/>
          <w:sz w:val="18"/>
          <w:szCs w:val="18"/>
          <w:u w:val="single" w:color="auto"/>
          <w:color w:val="212529"/>
        </w:rPr>
        <w:t>DOJ</w:t>
      </w:r>
      <w:r>
        <w:rPr>
          <w:rFonts w:ascii="Times New Roman" w:cs="Times New Roman" w:eastAsia="Times New Roman" w:hAnsi="Times New Roman"/>
          <w:sz w:val="18"/>
          <w:szCs w:val="18"/>
          <w:color w:val="212529"/>
        </w:rPr>
        <w:t>”) in connection with the Merger.</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212529"/>
        </w:rPr>
        <w:t>The Second Request was issued under notification requirements of the Hart-Scott-Rodino Antitrust Improvements Act of 1976, as amended (the “</w:t>
      </w:r>
      <w:r>
        <w:rPr>
          <w:rFonts w:ascii="Times New Roman" w:cs="Times New Roman" w:eastAsia="Times New Roman" w:hAnsi="Times New Roman"/>
          <w:sz w:val="18"/>
          <w:szCs w:val="18"/>
          <w:u w:val="single" w:color="auto"/>
          <w:color w:val="212529"/>
        </w:rPr>
        <w:t>HSR</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u w:val="single" w:color="auto"/>
          <w:color w:val="212529"/>
        </w:rPr>
        <w:t>Act</w:t>
      </w:r>
      <w:r>
        <w:rPr>
          <w:rFonts w:ascii="Times New Roman" w:cs="Times New Roman" w:eastAsia="Times New Roman" w:hAnsi="Times New Roman"/>
          <w:sz w:val="18"/>
          <w:szCs w:val="18"/>
          <w:color w:val="212529"/>
        </w:rPr>
        <w:t>”). The effect of the Second Request is to extend the waiting period imposed by the HSR Act until 30 days after Getty Images and Shutterstock have substantially complied with the request, unless that period is extended voluntarily by the parties or terminated sooner by the DOJ.</w:t>
      </w:r>
    </w:p>
    <w:p>
      <w:pPr>
        <w:spacing w:after="0" w:line="2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12529"/>
        </w:rPr>
        <w:t>Getty Images and Shutterstock intend to continue working cooperatively with the DOJ and other non-US regulators to obtain regulatory clearance for the Merger as expeditiously as possible. The Merger remains subject to Shutterstock stockholder approval as well as other customary closing conditions.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Both parties continue to expect the Merger to close in the second half of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A copy of a press release, dated April 2, 2025, announcing the Second Request is attached as Exhibit 99.1 hereto and is incorporated herein by reference.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about the Acquisition and Where to Find It</w:t>
      </w:r>
    </w:p>
    <w:p>
      <w:pPr>
        <w:spacing w:after="0" w:line="24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In connection with the proposed transaction, on March 31, 2025, Getty Images filed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a preliminary registration statement on Form S-4 that includes an information statement of Getty Images and a proxy statement of Shutterstock and that also constitutes a prospectus with respect to shares of Getty Images’ common stock to be issued in the proposed transaction (the “</w:t>
      </w:r>
      <w:r>
        <w:rPr>
          <w:rFonts w:ascii="Times New Roman" w:cs="Times New Roman" w:eastAsia="Times New Roman" w:hAnsi="Times New Roman"/>
          <w:sz w:val="18"/>
          <w:szCs w:val="18"/>
          <w:u w:val="single" w:color="auto"/>
          <w:color w:val="auto"/>
        </w:rPr>
        <w:t>information statement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proxy statement/prospectus</w:t>
      </w:r>
      <w:r>
        <w:rPr>
          <w:rFonts w:ascii="Times New Roman" w:cs="Times New Roman" w:eastAsia="Times New Roman" w:hAnsi="Times New Roman"/>
          <w:sz w:val="18"/>
          <w:szCs w:val="18"/>
          <w:color w:val="auto"/>
        </w:rPr>
        <w:t>”). The information statement and proxy statement/prospectus is not final and may be amended. Each of Getty Images and Shutterstock may also file with or furnish to the SEC other relevant documents regarding the proposed transaction. This communication is not a substitute for the information statement and proxy statement/prospectus or any other document that Getty Images or Shutterstock has filed or may file with or furnish to the SEC. The definitive information statement and proxy statement/prospectus (if and when available) will be mailed to stockholders of Getty Images and Shutterstock. BEFORE MAKING ANY VOTING OR INVESTMENT DECISION, INVESTORS AND SECURITY HOLDERS ARE URGED TO READ THE INFORMATION STATEMENT AND PROXY STATEMENT/PROSPECTUS AND ALL OTHER RELEVANT DOCUMENTS THAT ARE OR WILL BE FILED WITH OR FURNISHED TO THE SEC, AS WELL AS ANY AMENDMENTS OR SUPPLEMENTS TO THESE DOCUMENTS, CAREFULLY AND IN THEIR ENTIRETY BECAUSE THEY CONTAIN OR WILL CONTAIN IMPORTANT INFORMATION ABOUT THE PROPOSED TRANSACTION AND RELATED MATTERS. Investors and security holders will be able to obtain free copies of the information statement and proxy statement/prospectus filed on March 31, 2025 and the final version (if and when available) and other documents containing important information about Getty Images, Shutterstock and the proposed transaction, once such documents are filed with or furnished to the SEC through the website maintained by the SEC at www.sec.gov. Copies of the documents filed with or furnished to the SEC by Getty Images will be available free of charge on Getty Images’ website at investors.gettyimages.com or by contacting Getty Images’ Investor Relations department by email at investorrelations@gettyimages.com. Copies of the documents filed with or furnished to the SEC by Shutterstock will be available free of charge on Shutterstock’s website at investor. shutterstock.com or by contacting Shutterstock’s Investor Relations department by email at IR@Shutterstock.com.</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5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This communication is not a solicitation of proxies in connection with the proposed transaction. Getty Images, Shutterstock and certain of their respective directors and executive officers and other members of their respective management and employees may be deemed to be participants in the solicitation of proxies in respect of the proposed transaction. Information about the directors and executive officers of Getty Images, including a description of their direct or indirect interests, by security holdings or otherwise, is set forth in Getty Images’ Form 10-K for the year ended December 31, 2024 filed with the SEC on March 17, 2025 and in the information statement and proxy statement/prospectus. Information about the directors and executive officers of Shutterstock, including a description of their direct or indirect interests, by security holdings or otherwise, is set forth in Shutterstock’s Form 10-K for the year ended December 31, 2024 filed with the SEC on February 25, 2025, as amended by Amendment No. 1 to such Form 10-K filed with the SEC on March 28, 2025. Other information regarding the participants in the proxy solicitations and a description of their direct and indirect interests, by security holdings or otherwise, is contained in the information statement and proxy statement/prospectus filed on March 31, 2025 and other relevant materials to be filed with or furnished to the SEC regarding the proposed transaction. You may obtain free copies of these documents using the sources indicated above.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This communication is not intended to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statements in this filing, and any related oral statements, include forward-looking statements concerning Getty Images, Shutterstock, the proposed transaction described herein and other matters. All statements, other than historical facts, are forward-looking statements. Forward-looking statements may</w:t>
      </w:r>
    </w:p>
    <w:p>
      <w:pPr>
        <w:sectPr>
          <w:pgSz w:w="11900" w:h="16838" w:orient="portrait"/>
          <w:cols w:equalWidth="0" w:num="1">
            <w:col w:w="11240"/>
          </w:cols>
          <w:pgMar w:left="320" w:top="914" w:right="339" w:bottom="0" w:gutter="0" w:footer="0" w:header="0"/>
        </w:sectPr>
      </w:pPr>
    </w:p>
    <w:bookmarkStart w:id="2" w:name="page3"/>
    <w:bookmarkEnd w:id="2"/>
    <w:p>
      <w:pPr>
        <w:jc w:val="both"/>
        <w:spacing w:after="0" w:line="234" w:lineRule="auto"/>
        <w:rPr>
          <w:sz w:val="20"/>
          <w:szCs w:val="20"/>
          <w:color w:val="auto"/>
        </w:rPr>
      </w:pPr>
      <w:r>
        <w:rPr>
          <w:rFonts w:ascii="Times New Roman" w:cs="Times New Roman" w:eastAsia="Times New Roman" w:hAnsi="Times New Roman"/>
          <w:sz w:val="18"/>
          <w:szCs w:val="18"/>
          <w:color w:val="auto"/>
        </w:rPr>
        <w:t>discuss goals, intentions and expectations as to future plans, trends, events, results of operations or financial condition, financings or otherwise, based on current beliefs and involve numerous risks and uncertainties that could cause actual results to differ materially from expectations. Forward-looking statements speak only as of the date they are made or as of the dates indicated in the statements and should not be relied upon as predictions of future events, as there can be no assurance that the events or circumstances reflected in these statements will be achieved or will occur or the timing thereof. Forward-looking statements can often, but not always, be identified by the use of forward-looking terminology including “believes,” “expects,” “may,” “will,” “should,” “could,” “might,” “seeks,” “intends,” “plans,” “pro forma,” “estimates,” “anticipates,” “designed,” or the negative of these words and phrases, other variations of these words and phrases or comparable terminology, but not all forward-looking statements include such identifying words. Forward-looking statements are based upon current plans, estimates and expectations that are subject to risks, uncertainties and assumptions. Should one or more of these risks or uncertainties materialize, or should underlying assumptions prove incorrect, actual results may vary. The forward-looking statements in this filing relate to, among other things, obtaining applicable regulatory and stockholder approvals on a timely basis or otherwise, satisfying other closing conditions to the proposed transaction, on a timely basis or otherwise, the expected tax treatment of the transaction, the expected timing of the transaction, and the integration of the businesses and the expected benefits, cost savings, accretion, synergies and growth to result therefrom. Important factors that could cause actual results to differ materially from such forward-looking statements include, among other things: failure to obtain applicable regulatory or stockholder approvals in a timely manner or otherwise; interloper risk; failure to satisfy other closing conditions to the transaction or to complete the transaction on anticipated terms and timing (or at all); negative effects of the announcement of the transaction on the ability of Shutterstock or Getty Images to retain and hire key personnel and maintain relationships with customers, suppliers and others who Shutterstock or Getty Images does business, or on Shutterstock or Getty Images’ operating results and business generally; risks that the businesses will not be integrated successfully or that the combined company will not realize expected benefits, cost savings, accretion, synergies and/or growth, as expected (or at all), or that such benefits may take longer to realize or may be more costly to achieve than expected; the risk that disruptions from the transaction will harm business plans and operations; risks relating to unanticipated costs of integration; significant transaction and/or integration costs, or difficulties in connection with the transaction and/or unknown or inestimable liabilities; restrictions during the pendency of the transaction that may impact the ability to pursue certain business opportunities or strategic transactions; potential litigation associated with the transaction; the potential impact of the announcement or consummation of the transaction on Getty Images’, Shutterstock’s or the combined company’s relationships with suppliers, customers, employers and regulators; demand for the combined company’s products; potential changes in the Getty Images stock price that could negatively impact the value of the consideration offered to the Shutterstock stockholders; the occurrence of any event that could give rise to the termination of the proposed transaction; and Getty Images’ ability to complete any refinancing of its debt or new debt financing on a timely basis, on favorable terms or at all. A more fulsome discussion of the risks related to the proposed transaction has been included in the</w:t>
      </w:r>
    </w:p>
    <w:p>
      <w:pPr>
        <w:spacing w:after="0" w:line="1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information statement and proxy statement/prospectus. For a discussion of factors that could cause actual results to differ materially from those contemplated by forward-looking statements, see the section captioned “Risk Factors” in each of Getty Images’ and Shutterstock’s Annual Report on Form 10-K for the fiscal year ended December 31, 2024 and other filings with the SEC. Should one or more of these risks or uncertainties materialize, or should underlying assumptions prove incorrect, actual results may vary materially from those indicated or anticipated by such forward looking statements. While the list of factors presented here is, and the list of factors presented in the information statement and proxy statement/prospectus is, considered representative, no such list should be considered to be a complete statement of all potential risks and uncertainties. Unlisted factors may present significant additional obstacles to the realization of forward looking statements. Neither Getty Images nor Shutterstock assumes, and each hereby disclaims, any obligation to update forward-looking statements, except as may be required by law.</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480" w:type="dxa"/>
            <w:vAlign w:val="bottom"/>
          </w:tcPr>
          <w:p>
            <w:pPr>
              <w:spacing w:after="0"/>
              <w:rPr>
                <w:sz w:val="20"/>
                <w:szCs w:val="20"/>
                <w:color w:val="auto"/>
              </w:rPr>
            </w:pPr>
          </w:p>
        </w:tc>
        <w:tc>
          <w:tcPr>
            <w:tcW w:w="7500" w:type="dxa"/>
            <w:vAlign w:val="bottom"/>
          </w:tcPr>
          <w:p>
            <w:pPr>
              <w:ind w:left="20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459"/>
        </w:trPr>
        <w:tc>
          <w:tcPr>
            <w:tcW w:w="2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dated April 2, 2025</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20" w:type="dxa"/>
            <w:vAlign w:val="bottom"/>
          </w:tcPr>
          <w:p>
            <w:pPr>
              <w:spacing w:after="0"/>
              <w:rPr>
                <w:sz w:val="21"/>
                <w:szCs w:val="21"/>
                <w:color w:val="auto"/>
              </w:rPr>
            </w:pPr>
          </w:p>
        </w:tc>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019"/>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7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212529"/>
        </w:rPr>
        <w:t>SIGNATURES</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212529"/>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252"/>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Date: April 2, 2025</w:t>
            </w:r>
          </w:p>
        </w:tc>
        <w:tc>
          <w:tcPr>
            <w:tcW w:w="7900" w:type="dxa"/>
            <w:vAlign w:val="bottom"/>
            <w:gridSpan w:val="2"/>
          </w:tcPr>
          <w:p>
            <w:pPr>
              <w:ind w:left="1900"/>
              <w:spacing w:after="0"/>
              <w:rPr>
                <w:sz w:val="20"/>
                <w:szCs w:val="20"/>
                <w:color w:val="auto"/>
              </w:rPr>
            </w:pPr>
            <w:r>
              <w:rPr>
                <w:rFonts w:ascii="Times New Roman" w:cs="Times New Roman" w:eastAsia="Times New Roman" w:hAnsi="Times New Roman"/>
                <w:sz w:val="18"/>
                <w:szCs w:val="18"/>
                <w:b w:val="1"/>
                <w:bCs w:val="1"/>
                <w:color w:val="212529"/>
              </w:rPr>
              <w:t>Getty Images Holdings, Inc.</w:t>
            </w:r>
          </w:p>
        </w:tc>
      </w:tr>
      <w:tr>
        <w:trPr>
          <w:trHeight w:val="520"/>
        </w:trPr>
        <w:tc>
          <w:tcPr>
            <w:tcW w:w="3320" w:type="dxa"/>
            <w:vAlign w:val="bottom"/>
          </w:tcPr>
          <w:p>
            <w:pPr>
              <w:spacing w:after="0"/>
              <w:rPr>
                <w:sz w:val="24"/>
                <w:szCs w:val="24"/>
                <w:color w:val="auto"/>
              </w:rPr>
            </w:pPr>
          </w:p>
        </w:tc>
        <w:tc>
          <w:tcPr>
            <w:tcW w:w="26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212529"/>
              </w:rPr>
              <w:t>/s/ Kjelti Kellough</w:t>
            </w:r>
          </w:p>
        </w:tc>
      </w:tr>
      <w:tr>
        <w:trPr>
          <w:trHeight w:val="243"/>
        </w:trPr>
        <w:tc>
          <w:tcPr>
            <w:tcW w:w="3320" w:type="dxa"/>
            <w:vAlign w:val="bottom"/>
          </w:tcPr>
          <w:p>
            <w:pPr>
              <w:spacing w:after="0"/>
              <w:rPr>
                <w:sz w:val="21"/>
                <w:szCs w:val="21"/>
                <w:color w:val="auto"/>
              </w:rPr>
            </w:pPr>
          </w:p>
        </w:tc>
        <w:tc>
          <w:tcPr>
            <w:tcW w:w="26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Name:</w:t>
            </w: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212529"/>
              </w:rPr>
              <w:t>Kjelti Kellough</w:t>
            </w:r>
          </w:p>
        </w:tc>
      </w:tr>
      <w:tr>
        <w:trPr>
          <w:trHeight w:val="256"/>
        </w:trPr>
        <w:tc>
          <w:tcPr>
            <w:tcW w:w="3320" w:type="dxa"/>
            <w:vAlign w:val="bottom"/>
          </w:tcPr>
          <w:p>
            <w:pPr>
              <w:spacing w:after="0"/>
              <w:rPr>
                <w:sz w:val="22"/>
                <w:szCs w:val="22"/>
                <w:color w:val="auto"/>
              </w:rPr>
            </w:pPr>
          </w:p>
        </w:tc>
        <w:tc>
          <w:tcPr>
            <w:tcW w:w="26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Title:</w:t>
            </w: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212529"/>
              </w:rPr>
              <w:t>Senior Vice President, General Counsel, and Corporate Secretary</w:t>
            </w:r>
          </w:p>
        </w:tc>
      </w:tr>
    </w:tbl>
    <w:p>
      <w:pPr>
        <w:sectPr>
          <w:pgSz w:w="11900" w:h="16838" w:orient="portrait"/>
          <w:cols w:equalWidth="0" w:num="1">
            <w:col w:w="11240"/>
          </w:cols>
          <w:pgMar w:left="320" w:top="110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Getty Images and Shutterstock Receive Second Request from the U.S. Department of Justice</w:t>
      </w:r>
    </w:p>
    <w:p>
      <w:pPr>
        <w:spacing w:after="0" w:line="23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NEW YORK, April 2, 2025 </w:t>
      </w:r>
      <w:r>
        <w:rPr>
          <w:rFonts w:ascii="Times New Roman" w:cs="Times New Roman" w:eastAsia="Times New Roman" w:hAnsi="Times New Roman"/>
          <w:sz w:val="18"/>
          <w:szCs w:val="18"/>
          <w:color w:val="auto"/>
        </w:rPr>
        <w:t>– Getty Images Holdings, Inc. (NYSE: GETY) and Shutterstock, Inc. (NYSE: SSTK) today announced the companies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received a Request for Additional Information and Documentary Material (Second Request) from the U.S. Department of Justice (DOJ) in connection with Getty Images’ proposed merger with Shutterstock.</w:t>
      </w:r>
    </w:p>
    <w:p>
      <w:pPr>
        <w:spacing w:after="0" w:line="1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Second Request was issued under notification requirements of the Hart-Scott-Rodino (HSR) Antitrust Improvements Act of 1976, as amended. The effect of the Second Request is to extend the waiting period imposed by the HSR Act until 30 days after Getty Images and Shutterstock have substantially complied with the request, unless that period is extended voluntarily by the parties or terminated sooner by the DOJ.</w:t>
      </w:r>
    </w:p>
    <w:p>
      <w:pPr>
        <w:spacing w:after="0" w:line="19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Getty Images and Shutterstock intend to continue working cooperatively with the DOJ and other non-US regulators to obtain regulatory clearance for the proposed merger as expeditiously as possible. The proposed transaction remains subject to Shutterstock stockholder approval as well as other customary closing conditions.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Both parties continue to expect the transaction to close in the second half of 2025.</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Investor Contact Getty Images: </w:t>
      </w:r>
      <w:r>
        <w:rPr>
          <w:rFonts w:ascii="Times New Roman" w:cs="Times New Roman" w:eastAsia="Times New Roman" w:hAnsi="Times New Roman"/>
          <w:sz w:val="18"/>
          <w:szCs w:val="18"/>
          <w:color w:val="auto"/>
        </w:rPr>
        <w:t>Steven Kanner</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051F2"/>
        </w:rPr>
        <w:t>Investorrelations@gettyimages.com</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Media Contact Getty Images: </w:t>
      </w:r>
      <w:r>
        <w:rPr>
          <w:rFonts w:ascii="Times New Roman" w:cs="Times New Roman" w:eastAsia="Times New Roman" w:hAnsi="Times New Roman"/>
          <w:sz w:val="18"/>
          <w:szCs w:val="18"/>
          <w:color w:val="auto"/>
        </w:rPr>
        <w:t>Anne Flanagan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051F2"/>
        </w:rPr>
        <w:t>Anne.flanagan@gettyimages.com</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Investor Contact Shutterstock: </w:t>
      </w:r>
      <w:r>
        <w:rPr>
          <w:rFonts w:ascii="Times New Roman" w:cs="Times New Roman" w:eastAsia="Times New Roman" w:hAnsi="Times New Roman"/>
          <w:sz w:val="18"/>
          <w:szCs w:val="18"/>
          <w:color w:val="auto"/>
        </w:rPr>
        <w:t>Chris Suh</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051F2"/>
        </w:rPr>
        <w:t>csuh@Shutterstock.com</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 Shutterstock:</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Lori Rodney</w:t>
      </w:r>
    </w:p>
    <w:p>
      <w:pPr>
        <w:spacing w:after="0"/>
        <w:rPr>
          <w:sz w:val="20"/>
          <w:szCs w:val="20"/>
          <w:color w:val="auto"/>
        </w:rPr>
      </w:pPr>
      <w:r>
        <w:rPr>
          <w:rFonts w:ascii="Times New Roman" w:cs="Times New Roman" w:eastAsia="Times New Roman" w:hAnsi="Times New Roman"/>
          <w:sz w:val="18"/>
          <w:szCs w:val="18"/>
          <w:color w:val="3051F2"/>
        </w:rPr>
        <w:t>lrodney@shutterstock.com</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Getty Images</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 xml:space="preserve">Getty Images (NYSE: GETY) is a preeminent global visual content creator and marketplace that offers a full range of content solutions to meet the needs of any customer around the globe, no matter their size. Through its </w:t>
      </w:r>
      <w:r>
        <w:rPr>
          <w:rFonts w:ascii="Times New Roman" w:cs="Times New Roman" w:eastAsia="Times New Roman" w:hAnsi="Times New Roman"/>
          <w:sz w:val="18"/>
          <w:szCs w:val="18"/>
          <w:color w:val="3051F2"/>
        </w:rPr>
        <w:t>Getty Images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051F2"/>
        </w:rPr>
        <w:t>iStock</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color w:val="3051F2"/>
        </w:rPr>
        <w:t>Unsplash</w:t>
      </w:r>
      <w:r>
        <w:rPr>
          <w:rFonts w:ascii="Times New Roman" w:cs="Times New Roman" w:eastAsia="Times New Roman" w:hAnsi="Times New Roman"/>
          <w:sz w:val="18"/>
          <w:szCs w:val="18"/>
          <w:color w:val="auto"/>
        </w:rPr>
        <w:t xml:space="preserve"> brands, websites and APIs, Getty Images serves customers in almost every country in the world and is the first-place people turn to discover, purchase and share powerful visual content from the world’s best photographers and videographers. Getty Images works with over 576,000 content creators and more than 340 content partners to deliver this powerful and comprehensive content. Each year Getty Images covers more than 160,000 </w:t>
      </w:r>
      <w:r>
        <w:rPr>
          <w:rFonts w:ascii="Times New Roman" w:cs="Times New Roman" w:eastAsia="Times New Roman" w:hAnsi="Times New Roman"/>
          <w:sz w:val="18"/>
          <w:szCs w:val="18"/>
          <w:color w:val="3051F2"/>
        </w:rPr>
        <w:t>news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051F2"/>
        </w:rPr>
        <w:t>sport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color w:val="3051F2"/>
        </w:rPr>
        <w:t>entertainment</w:t>
      </w:r>
      <w:r>
        <w:rPr>
          <w:rFonts w:ascii="Times New Roman" w:cs="Times New Roman" w:eastAsia="Times New Roman" w:hAnsi="Times New Roman"/>
          <w:sz w:val="18"/>
          <w:szCs w:val="18"/>
          <w:color w:val="auto"/>
        </w:rPr>
        <w:t xml:space="preserve"> events providing depth and breadth of coverage that is unmatched. Getty Images maintains one of the largest and best privately-owned </w:t>
      </w:r>
      <w:r>
        <w:rPr>
          <w:rFonts w:ascii="Times New Roman" w:cs="Times New Roman" w:eastAsia="Times New Roman" w:hAnsi="Times New Roman"/>
          <w:sz w:val="18"/>
          <w:szCs w:val="18"/>
          <w:color w:val="3051F2"/>
        </w:rPr>
        <w:t>photographic archives</w:t>
      </w:r>
      <w:r>
        <w:rPr>
          <w:rFonts w:ascii="Times New Roman" w:cs="Times New Roman" w:eastAsia="Times New Roman" w:hAnsi="Times New Roman"/>
          <w:sz w:val="18"/>
          <w:szCs w:val="18"/>
          <w:color w:val="auto"/>
        </w:rPr>
        <w:t xml:space="preserve"> in the world with millions of images dating back to the beginning of photography.</w:t>
      </w:r>
    </w:p>
    <w:p>
      <w:pPr>
        <w:spacing w:after="0" w:line="181" w:lineRule="exact"/>
        <w:rPr>
          <w:sz w:val="20"/>
          <w:szCs w:val="20"/>
          <w:color w:val="auto"/>
        </w:rPr>
      </w:pPr>
    </w:p>
    <w:p>
      <w:pPr>
        <w:jc w:val="both"/>
        <w:spacing w:after="0" w:line="224" w:lineRule="exact"/>
        <w:rPr>
          <w:sz w:val="20"/>
          <w:szCs w:val="20"/>
          <w:color w:val="auto"/>
        </w:rPr>
      </w:pPr>
      <w:r>
        <w:rPr>
          <w:rFonts w:ascii="Times New Roman" w:cs="Times New Roman" w:eastAsia="Times New Roman" w:hAnsi="Times New Roman"/>
          <w:sz w:val="18"/>
          <w:szCs w:val="18"/>
          <w:color w:val="auto"/>
        </w:rPr>
        <w:t xml:space="preserve">Through its </w:t>
      </w:r>
      <w:r>
        <w:rPr>
          <w:rFonts w:ascii="Times New Roman" w:cs="Times New Roman" w:eastAsia="Times New Roman" w:hAnsi="Times New Roman"/>
          <w:sz w:val="18"/>
          <w:szCs w:val="18"/>
          <w:color w:val="3051F2"/>
        </w:rPr>
        <w:t>best-in-class creative library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color w:val="3051F2"/>
        </w:rPr>
        <w:t>Custom Content</w:t>
      </w:r>
      <w:r>
        <w:rPr>
          <w:rFonts w:ascii="Times New Roman" w:cs="Times New Roman" w:eastAsia="Times New Roman" w:hAnsi="Times New Roman"/>
          <w:sz w:val="18"/>
          <w:szCs w:val="18"/>
          <w:color w:val="auto"/>
        </w:rPr>
        <w:t xml:space="preserve"> solutions, Getty Images helps customers elevate their creativity and entire end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end creative process to find the right visual for any need. With the adoption and distribution of generative AI technologies and tools trained on permissioned content that include indemnification and perpetual, worldwide usage rights, </w:t>
      </w:r>
      <w:r>
        <w:rPr>
          <w:rFonts w:ascii="Times New Roman" w:cs="Times New Roman" w:eastAsia="Times New Roman" w:hAnsi="Times New Roman"/>
          <w:sz w:val="18"/>
          <w:szCs w:val="18"/>
          <w:color w:val="3051F2"/>
        </w:rPr>
        <w:t>Getty Images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color w:val="3051F2"/>
        </w:rPr>
        <w:t>iStock</w:t>
      </w:r>
      <w:r>
        <w:rPr>
          <w:rFonts w:ascii="Times New Roman" w:cs="Times New Roman" w:eastAsia="Times New Roman" w:hAnsi="Times New Roman"/>
          <w:sz w:val="18"/>
          <w:szCs w:val="18"/>
          <w:color w:val="auto"/>
        </w:rPr>
        <w:t xml:space="preserve"> customers can use text to image generation to ideate and create commercially safe compelling visuals, further expanding Getty Images capabilities to deliver exactly what customers are looking for.</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company news and announcements, visit our </w:t>
      </w:r>
      <w:r>
        <w:rPr>
          <w:rFonts w:ascii="Times New Roman" w:cs="Times New Roman" w:eastAsia="Times New Roman" w:hAnsi="Times New Roman"/>
          <w:sz w:val="18"/>
          <w:szCs w:val="18"/>
          <w:color w:val="3051F2"/>
        </w:rPr>
        <w:t>Newsroom</w:t>
      </w:r>
      <w:r>
        <w:rPr>
          <w:rFonts w:ascii="Times New Roman" w:cs="Times New Roman" w:eastAsia="Times New Roman" w:hAnsi="Times New Roman"/>
          <w:sz w:val="18"/>
          <w:szCs w:val="18"/>
          <w:color w:val="auto"/>
        </w:rPr>
        <w: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Shutterstock, Inc.</w:t>
      </w:r>
    </w:p>
    <w:p>
      <w:pPr>
        <w:spacing w:after="0" w:line="25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Shutterstock, Inc. (NYSE: </w:t>
      </w:r>
      <w:r>
        <w:rPr>
          <w:rFonts w:ascii="Times New Roman" w:cs="Times New Roman" w:eastAsia="Times New Roman" w:hAnsi="Times New Roman"/>
          <w:sz w:val="18"/>
          <w:szCs w:val="18"/>
          <w:color w:val="3051F2"/>
        </w:rPr>
        <w:t>SSTK</w:t>
      </w:r>
      <w:r>
        <w:rPr>
          <w:rFonts w:ascii="Times New Roman" w:cs="Times New Roman" w:eastAsia="Times New Roman" w:hAnsi="Times New Roman"/>
          <w:sz w:val="18"/>
          <w:szCs w:val="18"/>
          <w:color w:val="auto"/>
        </w:rPr>
        <w:t>) is a premier partner for transformative brands, digital media and marketing companies, empowering the world to create with confidence. Fueled by millions of creators around the world and a fearless approach to product innovation, Shutterstock is the leading global platform for licensing from the most</w:t>
      </w:r>
    </w:p>
    <w:p>
      <w:pPr>
        <w:sectPr>
          <w:pgSz w:w="11900" w:h="16838" w:orient="portrait"/>
          <w:cols w:equalWidth="0" w:num="1">
            <w:col w:w="11240"/>
          </w:cols>
          <w:pgMar w:left="320" w:top="1413" w:right="339" w:bottom="1440" w:gutter="0" w:footer="0" w:header="0"/>
        </w:sectPr>
      </w:pPr>
    </w:p>
    <w:bookmarkStart w:id="5" w:name="page6"/>
    <w:bookmarkEnd w:id="5"/>
    <w:p>
      <w:pPr>
        <w:jc w:val="both"/>
        <w:spacing w:after="0" w:line="258" w:lineRule="auto"/>
        <w:rPr>
          <w:sz w:val="20"/>
          <w:szCs w:val="20"/>
          <w:color w:val="auto"/>
        </w:rPr>
      </w:pPr>
      <w:r>
        <w:rPr>
          <w:rFonts w:ascii="Times New Roman" w:cs="Times New Roman" w:eastAsia="Times New Roman" w:hAnsi="Times New Roman"/>
          <w:sz w:val="18"/>
          <w:szCs w:val="18"/>
          <w:color w:val="auto"/>
        </w:rPr>
        <w:t>extensive and diverse collection of high-quality 3D models, videos, music, photographs, vectors and illustrations. From the world's largest content marketplace, to breaking news and A-list entertainment editorial access, to all-in-one content editing platform and studio production service—all using the latest in innovative technology—Shutterstock offers the most comprehensive selection of resources to bring storytelling to life.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Learn more at </w:t>
      </w:r>
      <w:r>
        <w:rPr>
          <w:rFonts w:ascii="Times New Roman" w:cs="Times New Roman" w:eastAsia="Times New Roman" w:hAnsi="Times New Roman"/>
          <w:sz w:val="18"/>
          <w:szCs w:val="18"/>
          <w:color w:val="3051F2"/>
        </w:rPr>
        <w:t>www.shutterstock.com</w:t>
      </w:r>
      <w:r>
        <w:rPr>
          <w:rFonts w:ascii="Times New Roman" w:cs="Times New Roman" w:eastAsia="Times New Roman" w:hAnsi="Times New Roman"/>
          <w:sz w:val="18"/>
          <w:szCs w:val="18"/>
          <w:color w:val="auto"/>
        </w:rPr>
        <w:t xml:space="preserve"> and follow us on </w:t>
      </w:r>
      <w:r>
        <w:rPr>
          <w:rFonts w:ascii="Times New Roman" w:cs="Times New Roman" w:eastAsia="Times New Roman" w:hAnsi="Times New Roman"/>
          <w:sz w:val="18"/>
          <w:szCs w:val="18"/>
          <w:color w:val="3051F2"/>
        </w:rPr>
        <w:t>LinkedIn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051F2"/>
        </w:rPr>
        <w:t>Instagram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051F2"/>
        </w:rPr>
        <w:t>Twitter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051F2"/>
        </w:rPr>
        <w:t>Facebook</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color w:val="3051F2"/>
        </w:rPr>
        <w:t>YouTube</w:t>
      </w:r>
      <w:r>
        <w:rPr>
          <w:rFonts w:ascii="Times New Roman" w:cs="Times New Roman" w:eastAsia="Times New Roman" w:hAnsi="Times New Roman"/>
          <w:sz w:val="18"/>
          <w:szCs w:val="18"/>
          <w:color w:val="auto"/>
        </w:rPr>
        <w: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about the Acquisition and Where to Find It</w:t>
      </w:r>
    </w:p>
    <w:p>
      <w:pPr>
        <w:spacing w:after="0" w:line="25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In connection with the proposed transaction, on March 31, 2025, Getty Images filed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a preliminary registration statement on Form S-4 that includes an information statement of Getty Images and a proxy statement of Shutterstock and that also constitutes a prospectus with respect to shares of Getty Images’ common stock to be issued in the proposed transaction (the “</w:t>
      </w:r>
      <w:r>
        <w:rPr>
          <w:rFonts w:ascii="Times New Roman" w:cs="Times New Roman" w:eastAsia="Times New Roman" w:hAnsi="Times New Roman"/>
          <w:sz w:val="18"/>
          <w:szCs w:val="18"/>
          <w:u w:val="single" w:color="auto"/>
          <w:color w:val="auto"/>
        </w:rPr>
        <w:t>information statement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proxy statement/prospectus</w:t>
      </w:r>
      <w:r>
        <w:rPr>
          <w:rFonts w:ascii="Times New Roman" w:cs="Times New Roman" w:eastAsia="Times New Roman" w:hAnsi="Times New Roman"/>
          <w:sz w:val="18"/>
          <w:szCs w:val="18"/>
          <w:color w:val="auto"/>
        </w:rPr>
        <w:t>”). The information statement and proxy statement/prospectus is not final and may be amended. Each of Getty Images and Shutterstock may also file with or furnish to the SEC other relevant documents regarding the proposed transaction. This communication is not a substitute for the information statement and proxy statement/prospectus or any other document that Getty Images or Shutterstock has filed or may file with or furnish to the SEC. The definitive information statement and proxy statement/prospectus (if and when available) will be mailed to stockholders of Getty Images and Shutterstock. BEFORE MAKING ANY VOTING OR INVESTMENT DECISION, INVESTORS AND SECURITY HOLDERS ARE URGED TO READ THE INFORMATION STATEMENT AND PROXY STATEMENT/PROSPECTUS AND ALL OTHER RELEVANT DOCUMENTS THAT ARE OR WILL BE FILED WITH OR FURNISHED TO THE SEC, AS WELL AS ANY AMENDMENTS OR SUPPLEMENTS TO THESE DOCUMENTS, CAREFULLY AND IN THEIR ENTIRETY BECAUSE THEY CONTAIN OR WILL CONTAIN IMPORTANT INFORMATION ABOUT THE PROPOSED TRANSACTION AND RELATED MATTERS. Investors and security holders will be able to obtain free copies of the information statement and proxy statement/prospectus filed on March 31, 2025 and the final version (if and when available) and other documents containing important information about Getty Images, Shutterstock and the proposed transaction, once such documents are filed with or furnished to the SEC through the website maintained by the SEC at www.sec.gov. Copies of the documents filed with or furnished to the SEC by Getty Images will be available free of charge on Getty Images’ website at investors.gettyimages.com or by contacting Getty Images’ Investor Relations department by email at investorrelations@gettyimages.com. Copies of the documents filed with or furnished to the SEC by Shutterstock will be available free of charge on Shutterstock’s website at investor. shutterstock.com or by contacting Shutterstock’s Investor Relations department by email at IR@Shutterstock.com.</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4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This communication is not a solicitation of proxies in connection with the proposed transaction. Getty Images, Shutterstock and certain of their respective directors and executive officers and other members of their respective management and employees may be deemed to be participants in the solicitation of proxies in respect of the proposed transaction. Information about the directors and executive officers of Getty Images, including a description of their direct or indirect interests, by security holdings or otherwise, is set forth in Getty Images’ Form 10-K for the year ended December 31, 2024 filed with the SEC on March 17, 2025 and in the information statement and proxy statement/prospectus. Information about the directors and executive officers of Shutterstock, including a description of their direct or indirect interests, by security holdings or otherwise, is set forth in Shutterstock’s Form 10-K for the year ended December 31, 2024 filed with the SEC on February 25, 2025, as amended by Amendment No. 1 to such Form 10-K filed with the SEC on March 28, 2025. Other information regarding the participants in the proxy solicitations and a description of their direct and indirect interests, by security holdings or otherwise, is contained in the information statement and proxy statement/prospectus filed on March 31, 2025 and other relevant materials to be filed with or furnished to the SEC regarding the proposed transaction. You may obtain free copies of these documents using the sources indicated above.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communication is not intended to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w:t>
      </w:r>
    </w:p>
    <w:p>
      <w:pPr>
        <w:sectPr>
          <w:pgSz w:w="11900" w:h="16838" w:orient="portrait"/>
          <w:cols w:equalWidth="0" w:num="1">
            <w:col w:w="11240"/>
          </w:cols>
          <w:pgMar w:left="320" w:top="1417" w:right="339" w:bottom="1440" w:gutter="0" w:footer="0" w:header="0"/>
        </w:sectPr>
      </w:pPr>
    </w:p>
    <w:bookmarkStart w:id="6" w:name="page7"/>
    <w:bookmarkEnd w:id="6"/>
    <w:p>
      <w:pPr>
        <w:jc w:val="both"/>
        <w:spacing w:after="0" w:line="266" w:lineRule="auto"/>
        <w:rPr>
          <w:sz w:val="20"/>
          <w:szCs w:val="20"/>
          <w:color w:val="auto"/>
        </w:rPr>
      </w:pPr>
      <w:r>
        <w:rPr>
          <w:rFonts w:ascii="Times New Roman" w:cs="Times New Roman" w:eastAsia="Times New Roman" w:hAnsi="Times New Roman"/>
          <w:sz w:val="18"/>
          <w:szCs w:val="18"/>
          <w:color w:val="auto"/>
        </w:rPr>
        <w:t>securities laws of any such jurisdiction. No offer of securities shall be made, except by means of a prospectus meeting the requirements of Section 10 of the Securities Act of 1933, as amended.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statements in this press release, and any related oral statements, include forward-looking statements concerning Getty Images, Shutterstock, the proposed transaction described herein and other matters. All statements, other than historical facts, are forward-looking statements. Forward-looking statements may discuss goals, intentions and expectations as to future plans, trends, events, results of operations or financial condition, financings or otherwise, based on current beliefs and involve numerous risks and uncertainties that could cause actual results to differ materially from expectations. Forward-looking statements speak only as of the date they are made or as of the dates indicated in the statements and should not be relied upon as predictions of future events, as there can be no assurance that the events or circumstances reflected in these statements will be achieved or will occur or the timing thereof. Forward-looking statements can often, but not always, be identified by the use of forward-looking terminology including “believes,” “expects,” “may,” “will,” “should,” “could,” “might,” “seeks,” “intends,” “plans,” “pro forma,” “estimates,” “anticipates,” “designed,” or the negative of these words and phrases, other variations of these words and phrases or comparable terminology, but not all forward-looking statements include such identifying words. Forward-looking statements are based upon current plans, estimates and expectations that are subject to risks, uncertainties and assumptions. Should one or more of these risks or uncertainties materialize, or should underlying assumptions prove incorrect, actual results may vary. The forward-looking statements in this press release relate to, among other things, obtaining applicable regulatory and stockholder approvals on a timely basis or otherwise, satisfying other closing conditions to the proposed transaction, on a timely basis or otherwise, the expected tax treatment of the transaction, the expected timing of the transaction, and the integration of the businesses and the expected benefits, cost savings, accretion, synergies and growth to result therefrom. Important factors that could cause actual results to differ materially from such forward-looking statements include, among other things: failure to obtain applicable regulatory or stockholder approvals in a timely manner or otherwise; interloper risk; failure to satisfy other closing conditions to the transaction or to complete the transaction on anticipated terms and timing (or at all); negative effects of the announcement of the transaction on the ability of Shutterstock or Getty Images to retain and hire key personnel and maintain relationships with customers, suppliers and others who Shutterstock or Getty Images does business, or on Shutterstock or Getty Images’ operating results and business generally; risks that the businesses will not be integrated successfully or that the combined company will not realize expected benefits, cost savings, accretion, synergies and/or growth, as expected (or at all), or that such benefits may take longer to realize or may be more costly to achieve than expected; the risk that disruptions from the transaction will harm business plans and operations; risks relating to unanticipated costs of integration; significant transaction and/or integration costs, or difficulties in connection with the transaction and/or unknown or inestimable liabilities; restrictions during the pendency of the transaction that may impact the ability to pursue certain business opportunities or strategic transactions; potential litigation associated with the transaction; the potential impact of the announcement or consummation of the transaction on Getty Images’, Shutterstock’s or the combined company’s relationships with suppliers, customers, employers and regulators; demand for the combined company’s products; potential changes in the Getty Images stock price that could negatively impact the value of the consideration offered to the Shutterstock stockholders; the occurrence of any event that could give rise to the termination of the proposed transaction; and Getty Images’ ability to complete any refinancing of its debt or new debt financing on a timely basis, on favorable terms or at all. A more fulsome discussion of the risks related to the proposed transaction has been included in the information statement and proxy statement/prospectus. For a discussion of factors that could cause actual results to differ materially from those contemplated by forward-looking statements, see the section captioned “Risk Factors” in each of Getty Images’ and Shutterstock’s Annual Report on Form 10-K for the fiscal year ended December 31, 2024 and other filings with the SEC. Should one or more of these risks or uncertainties materialize, or should underlying assumptions prove incorrect, actual results may vary materially from those indicated or anticipated by such forward looking statements. While the list of factors presented here is, and the list of factors presented in the information statement and proxy statement/prospectus is, considered representative, no such list should be considered to be a complete statement of all potential risks and uncertainties. Unlisted factors may present significant additional obstacles to the realization of forward looking statements. Neither Getty Images nor Shutterstock assumes, and each hereby disclaims, any obligation to update forward-looking statements, except as may be required by law.</w:t>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o"/>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2025-04-02T16:39:40Z</dcterms:created>
  <dcterms:modified xsi:type="dcterms:W3CDTF">2025-04-02T16:39:40Z</dcterms:modified>
</cp:coreProperties>
</file>