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883285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5"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9" w:lineRule="exact"/>
        <w:rPr>
          <w:sz w:val="24"/>
          <w:szCs w:val="24"/>
          <w:color w:val="auto"/>
        </w:rPr>
      </w:pPr>
    </w:p>
    <w:p>
      <w:pPr>
        <w:ind w:left="410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109855</wp:posOffset>
            </wp:positionV>
            <wp:extent cx="3642995"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299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GETTY IMAGES HOLDINGS,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jc w:val="center"/>
              <w:ind w:left="928"/>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4980" w:type="dxa"/>
            <w:vAlign w:val="bottom"/>
            <w:gridSpan w:val="3"/>
          </w:tcPr>
          <w:p>
            <w:pPr>
              <w:jc w:val="center"/>
              <w:ind w:left="1168"/>
              <w:spacing w:after="0"/>
              <w:rPr>
                <w:sz w:val="20"/>
                <w:szCs w:val="20"/>
                <w:color w:val="auto"/>
              </w:rPr>
            </w:pPr>
            <w:r>
              <w:rPr>
                <w:rFonts w:ascii="Times New Roman" w:cs="Times New Roman" w:eastAsia="Times New Roman" w:hAnsi="Times New Roman"/>
                <w:sz w:val="18"/>
                <w:szCs w:val="18"/>
                <w:b w:val="1"/>
                <w:bCs w:val="1"/>
                <w:color w:val="auto"/>
                <w:w w:val="98"/>
              </w:rPr>
              <w:t>87-3764229</w:t>
            </w:r>
          </w:p>
        </w:tc>
      </w:tr>
      <w:tr>
        <w:trPr>
          <w:trHeight w:val="216"/>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07"/>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gridSpan w:val="4"/>
          </w:tcPr>
          <w:p>
            <w:pPr>
              <w:jc w:val="center"/>
              <w:ind w:right="3821"/>
              <w:spacing w:after="0"/>
              <w:rPr>
                <w:sz w:val="20"/>
                <w:szCs w:val="20"/>
                <w:color w:val="auto"/>
              </w:rPr>
            </w:pPr>
            <w:r>
              <w:rPr>
                <w:rFonts w:ascii="Times New Roman" w:cs="Times New Roman" w:eastAsia="Times New Roman" w:hAnsi="Times New Roman"/>
                <w:sz w:val="14"/>
                <w:szCs w:val="14"/>
                <w:b w:val="1"/>
                <w:bCs w:val="1"/>
                <w:color w:val="auto"/>
              </w:rPr>
              <w:t>605 5th Ave S. Suite 400</w:t>
            </w:r>
          </w:p>
        </w:tc>
      </w:t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Seattle, WA 98104</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49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03"/>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(206) 925-5000</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320" w:type="dxa"/>
            <w:vAlign w:val="bottom"/>
            <w:gridSpan w:val="4"/>
          </w:tcPr>
          <w:p>
            <w:pPr>
              <w:jc w:val="center"/>
              <w:ind w:right="3841"/>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r>
      <w:tr>
        <w:trPr>
          <w:trHeight w:val="303"/>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320" w:type="dxa"/>
            <w:vAlign w:val="bottom"/>
            <w:gridSpan w:val="4"/>
          </w:tcPr>
          <w:p>
            <w:pPr>
              <w:jc w:val="center"/>
              <w:ind w:right="3821"/>
              <w:spacing w:after="0"/>
              <w:rPr>
                <w:sz w:val="20"/>
                <w:szCs w:val="20"/>
                <w:color w:val="auto"/>
              </w:rPr>
            </w:pPr>
            <w:r>
              <w:rPr>
                <w:rFonts w:ascii="Times New Roman" w:cs="Times New Roman" w:eastAsia="Times New Roman" w:hAnsi="Times New Roman"/>
                <w:sz w:val="11"/>
                <w:szCs w:val="11"/>
                <w:b w:val="1"/>
                <w:bCs w:val="1"/>
                <w:color w:val="auto"/>
                <w:w w:val="98"/>
              </w:rPr>
              <w:t>(Former name or former address, if changed since last report)</w:t>
            </w:r>
          </w:p>
        </w:tc>
      </w:tr>
      <w:tr>
        <w:trPr>
          <w:trHeight w:val="309"/>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0"/>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86"/>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GETY</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230"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81" w:lineRule="exact"/>
        <w:rPr>
          <w:sz w:val="24"/>
          <w:szCs w:val="24"/>
          <w:color w:val="auto"/>
        </w:rPr>
      </w:pPr>
    </w:p>
    <w:p>
      <w:pPr>
        <w:jc w:val="both"/>
        <w:spacing w:after="0" w:line="32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8" w:lineRule="exact"/>
        <w:rPr>
          <w:sz w:val="24"/>
          <w:szCs w:val="24"/>
          <w:color w:val="auto"/>
        </w:rPr>
      </w:pPr>
    </w:p>
    <w:p>
      <w:pPr>
        <w:jc w:val="both"/>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4"/>
          <w:szCs w:val="14"/>
          <w:color w:val="auto"/>
        </w:rPr>
        <w:t>“</w:t>
      </w:r>
      <w:r>
        <w:rPr>
          <w:rFonts w:ascii="Times New Roman" w:cs="Times New Roman" w:eastAsia="Times New Roman" w:hAnsi="Times New Roman"/>
          <w:sz w:val="14"/>
          <w:szCs w:val="14"/>
          <w:color w:val="auto"/>
        </w:rPr>
        <w:t>large accelerated filer,</w:t>
      </w:r>
      <w:r>
        <w:rPr>
          <w:rFonts w:ascii="Arial" w:cs="Arial" w:eastAsia="Arial" w:hAnsi="Arial"/>
          <w:sz w:val="14"/>
          <w:szCs w:val="14"/>
          <w:color w:val="auto"/>
        </w:rPr>
        <w:t>” “</w:t>
      </w:r>
      <w:r>
        <w:rPr>
          <w:rFonts w:ascii="Times New Roman" w:cs="Times New Roman" w:eastAsia="Times New Roman" w:hAnsi="Times New Roman"/>
          <w:sz w:val="14"/>
          <w:szCs w:val="14"/>
          <w:color w:val="auto"/>
        </w:rPr>
        <w:t>accelerated filer,</w:t>
      </w:r>
      <w:r>
        <w:rPr>
          <w:rFonts w:ascii="Arial" w:cs="Arial" w:eastAsia="Arial" w:hAnsi="Arial"/>
          <w:sz w:val="14"/>
          <w:szCs w:val="14"/>
          <w:color w:val="auto"/>
        </w:rPr>
        <w:t>” “</w:t>
      </w:r>
      <w:r>
        <w:rPr>
          <w:rFonts w:ascii="Times New Roman" w:cs="Times New Roman" w:eastAsia="Times New Roman" w:hAnsi="Times New Roman"/>
          <w:sz w:val="14"/>
          <w:szCs w:val="14"/>
          <w:color w:val="auto"/>
        </w:rPr>
        <w:t>smaller reporting company,</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and </w:t>
      </w:r>
      <w:r>
        <w:rPr>
          <w:rFonts w:ascii="Arial" w:cs="Arial" w:eastAsia="Arial" w:hAnsi="Arial"/>
          <w:sz w:val="14"/>
          <w:szCs w:val="14"/>
          <w:color w:val="auto"/>
        </w:rPr>
        <w:t>“</w:t>
      </w:r>
      <w:r>
        <w:rPr>
          <w:rFonts w:ascii="Times New Roman" w:cs="Times New Roman" w:eastAsia="Times New Roman" w:hAnsi="Times New Roman"/>
          <w:sz w:val="14"/>
          <w:szCs w:val="14"/>
          <w:color w:val="auto"/>
        </w:rPr>
        <w:t>emerging growth company</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20" w:type="dxa"/>
            <w:vAlign w:val="bottom"/>
          </w:tcPr>
          <w:p>
            <w:pPr>
              <w:ind w:left="1320"/>
              <w:spacing w:after="0"/>
              <w:rPr>
                <w:sz w:val="20"/>
                <w:szCs w:val="20"/>
                <w:color w:val="auto"/>
              </w:rPr>
            </w:pPr>
            <w:r>
              <w:rPr>
                <w:rFonts w:ascii="Wingdings" w:cs="Wingdings" w:eastAsia="Wingdings" w:hAnsi="Wingdings"/>
                <w:sz w:val="14"/>
                <w:szCs w:val="14"/>
                <w:b w:val="1"/>
                <w:bCs w:val="1"/>
                <w:color w:val="auto"/>
              </w:rPr>
              <w:t>o</w:t>
            </w: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Accelerated filer</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20" w:type="dxa"/>
            <w:vAlign w:val="bottom"/>
          </w:tcPr>
          <w:p>
            <w:pPr>
              <w:ind w:left="1320"/>
              <w:spacing w:after="0"/>
              <w:rPr>
                <w:sz w:val="20"/>
                <w:szCs w:val="20"/>
                <w:color w:val="auto"/>
              </w:rPr>
            </w:pPr>
            <w:r>
              <w:rPr>
                <w:rFonts w:ascii="Wingdings" w:cs="Wingdings" w:eastAsia="Wingdings" w:hAnsi="Wingdings"/>
                <w:sz w:val="14"/>
                <w:szCs w:val="14"/>
                <w:b w:val="1"/>
                <w:bCs w:val="1"/>
                <w:color w:val="auto"/>
              </w:rPr>
              <w:t>o</w:t>
            </w: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23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August 7, 2025, 414,811,306 shares of Class A common stock, par value $0.0001 per share, of Getty Images Holdings, Inc.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26035</wp:posOffset>
            </wp:positionV>
            <wp:extent cx="651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June 30, 2025 and December 31, 2024</w:t>
            </w:r>
          </w:p>
        </w:tc>
        <w:tc>
          <w:tcPr>
            <w:tcW w:w="2980" w:type="dxa"/>
            <w:vAlign w:val="bottom"/>
            <w:gridSpan w:val="5"/>
          </w:tcPr>
          <w:p>
            <w:pPr>
              <w:spacing w:after="0"/>
              <w:rPr>
                <w:sz w:val="24"/>
                <w:szCs w:val="24"/>
                <w:color w:val="auto"/>
              </w:rPr>
            </w:pP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2025 and 2024</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 Income for the Three and Six Months Ended June 30, 2025 and</w:t>
            </w:r>
          </w:p>
        </w:tc>
        <w:tc>
          <w:tcPr>
            <w:tcW w:w="740" w:type="dxa"/>
            <w:vAlign w:val="bottom"/>
            <w:vMerge w:val="restart"/>
          </w:tcPr>
          <w:p>
            <w:pPr>
              <w:jc w:val="center"/>
              <w:ind w:left="4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88"/>
              </w:rPr>
              <w:t>2024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Six Months Ended June 30, 2025 and 2024</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2025 and 2024</w:t>
            </w:r>
          </w:p>
        </w:tc>
        <w:tc>
          <w:tcPr>
            <w:tcW w:w="1440" w:type="dxa"/>
            <w:vAlign w:val="bottom"/>
            <w:tcBorders>
              <w:top w:val="single" w:sz="8" w:color="0000EE"/>
            </w:tcBorders>
            <w:gridSpan w:val="2"/>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120" w:type="dxa"/>
            <w:vAlign w:val="bottom"/>
            <w:gridSpan w:val="7"/>
          </w:tcPr>
          <w:p>
            <w:pPr>
              <w:spacing w:after="0"/>
              <w:rPr>
                <w:sz w:val="24"/>
                <w:szCs w:val="24"/>
                <w:color w:val="auto"/>
              </w:rPr>
            </w:pP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2.</w:t>
            </w:r>
          </w:p>
        </w:tc>
        <w:tc>
          <w:tcPr>
            <w:tcW w:w="440" w:type="dxa"/>
            <w:vAlign w:val="bottom"/>
            <w:gridSpan w:val="2"/>
          </w:tcPr>
          <w:p>
            <w:pPr>
              <w:spacing w:after="0"/>
              <w:rPr>
                <w:sz w:val="24"/>
                <w:szCs w:val="24"/>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3.</w:t>
            </w:r>
          </w:p>
        </w:tc>
        <w:tc>
          <w:tcPr>
            <w:tcW w:w="440" w:type="dxa"/>
            <w:vAlign w:val="bottom"/>
            <w:gridSpan w:val="2"/>
          </w:tcPr>
          <w:p>
            <w:pPr>
              <w:spacing w:after="0"/>
              <w:rPr>
                <w:sz w:val="24"/>
                <w:szCs w:val="24"/>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4.</w:t>
            </w:r>
          </w:p>
        </w:tc>
        <w:tc>
          <w:tcPr>
            <w:tcW w:w="440" w:type="dxa"/>
            <w:vAlign w:val="bottom"/>
            <w:gridSpan w:val="2"/>
          </w:tcPr>
          <w:p>
            <w:pPr>
              <w:spacing w:after="0"/>
              <w:rPr>
                <w:sz w:val="24"/>
                <w:szCs w:val="24"/>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320" w:type="dxa"/>
            <w:vAlign w:val="bottom"/>
          </w:tcPr>
          <w:p>
            <w:pPr>
              <w:spacing w:after="0"/>
              <w:rPr>
                <w:sz w:val="24"/>
                <w:szCs w:val="24"/>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0" w:type="dxa"/>
            <w:vAlign w:val="bottom"/>
            <w:tcBorders>
              <w:left w:val="single" w:sz="8" w:color="0000EE"/>
            </w:tcBorders>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6.</w:t>
            </w:r>
          </w:p>
        </w:tc>
        <w:tc>
          <w:tcPr>
            <w:tcW w:w="440" w:type="dxa"/>
            <w:vAlign w:val="bottom"/>
            <w:gridSpan w:val="2"/>
          </w:tcPr>
          <w:p>
            <w:pPr>
              <w:spacing w:after="0"/>
              <w:rPr>
                <w:sz w:val="24"/>
                <w:szCs w:val="24"/>
                <w:color w:val="auto"/>
              </w:rPr>
            </w:pPr>
          </w:p>
        </w:tc>
        <w:tc>
          <w:tcPr>
            <w:tcW w:w="91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52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7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GETTY IMAGES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par value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8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121,173</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net of allowance of $6,100 and $6,164, respectively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151,130</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16,327</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 receivable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9,577</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w:t>
            </w:r>
          </w:p>
        </w:tc>
      </w:tr>
      <w:tr>
        <w:trPr>
          <w:trHeight w:val="23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358,815</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177,292</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32,453</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1,510,477</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389,906</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63,965</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30,800</w:t>
            </w:r>
          </w:p>
        </w:tc>
      </w:tr>
      <w:tr>
        <w:trPr>
          <w:trHeight w:val="268"/>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2,595,961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2,563,708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99,320</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59,938</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Litigation reserves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110,994</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184,934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172,090</w:t>
            </w: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453,255</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1,341,305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1,314,424</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29,034</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24,357</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22,329</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w:t>
            </w: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1,935,949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1,845,368</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&amp; contingencies (Note 12)</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58"/>
        </w:trPr>
        <w:tc>
          <w:tcPr>
            <w:tcW w:w="8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5"/>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Class A common stock, $0.0001 par value: 2.0 billion shares authorized; 414.8 million shares issued and outstanding as of</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June 30, 2025 and 412.3 million shares issued and outstanding as of December 31, 2024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2,027,941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2,017,407</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(1,223,482)</w:t>
            </w:r>
          </w:p>
        </w:tc>
      </w:tr>
      <w:tr>
        <w:trPr>
          <w:trHeight w:val="23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(55,701)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(123,770)</w:t>
            </w:r>
          </w:p>
        </w:tc>
      </w:tr>
      <w:tr>
        <w:trPr>
          <w:trHeight w:val="243"/>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Getty Images Holdings, Inc. stockholders’ equity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670,196</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48,854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48,144</w:t>
            </w:r>
          </w:p>
        </w:tc>
      </w:tr>
      <w:tr>
        <w:trPr>
          <w:trHeight w:val="236"/>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660,012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718,340</w:t>
            </w: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2,595,961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2,563,708</w:t>
            </w: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513" w:right="339" w:bottom="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3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25"/>
        </w:trPr>
        <w:tc>
          <w:tcPr>
            <w:tcW w:w="5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36"/>
        </w:trPr>
        <w:tc>
          <w:tcPr>
            <w:tcW w:w="55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451,418</w:t>
            </w:r>
          </w:p>
        </w:tc>
      </w:tr>
      <w:tr>
        <w:trPr>
          <w:trHeight w:val="148"/>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(exclusive of depreciation and amortization)</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63,097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125,838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123,353</w:t>
            </w:r>
          </w:p>
        </w:tc>
      </w:tr>
      <w:tr>
        <w:trPr>
          <w:trHeight w:val="25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202,176</w:t>
            </w: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29,049</w:t>
            </w:r>
          </w:p>
        </w:tc>
      </w:tr>
      <w:tr>
        <w:trPr>
          <w:trHeight w:val="25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litigation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r>
      <w:tr>
        <w:trPr>
          <w:trHeight w:val="24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 – net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r>
      <w:tr>
        <w:trPr>
          <w:trHeight w:val="237"/>
        </w:trPr>
        <w:tc>
          <w:tcPr>
            <w:tcW w:w="5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182,682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396,057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363,926</w:t>
            </w:r>
          </w:p>
        </w:tc>
      </w:tr>
      <w:tr>
        <w:trPr>
          <w:trHeight w:val="23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87,492</w:t>
            </w:r>
          </w:p>
        </w:tc>
      </w:tr>
      <w:tr>
        <w:trPr>
          <w:trHeight w:val="257"/>
        </w:trPr>
        <w:tc>
          <w:tcPr>
            <w:tcW w:w="5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(66,614)</w:t>
            </w:r>
          </w:p>
        </w:tc>
      </w:tr>
      <w:tr>
        <w:trPr>
          <w:trHeight w:val="25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fair value adjustment for swaps – net</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(loss) gain –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18,861</w:t>
            </w:r>
          </w:p>
        </w:tc>
      </w:tr>
      <w:tr>
        <w:trPr>
          <w:trHeight w:val="2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(expense) income – net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w:t>
            </w:r>
          </w:p>
        </w:tc>
      </w:tr>
      <w:tr>
        <w:trPr>
          <w:trHeight w:val="243"/>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expense –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(46,517)</w:t>
            </w: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40,975</w:t>
            </w:r>
          </w:p>
        </w:tc>
      </w:tr>
      <w:tr>
        <w:trPr>
          <w:trHeight w:val="24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(23,699)</w:t>
            </w:r>
          </w:p>
        </w:tc>
      </w:tr>
      <w:tr>
        <w:trPr>
          <w:trHeight w:val="148"/>
        </w:trPr>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17,276</w:t>
            </w:r>
          </w:p>
        </w:tc>
      </w:tr>
      <w:tr>
        <w:trPr>
          <w:trHeight w:val="233"/>
        </w:trPr>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Getty Images Holdings, Inc.</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(137,641)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17,302</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5"/>
        </w:trPr>
        <w:tc>
          <w:tcPr>
            <w:tcW w:w="55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per share attributable to Class A Getty Images Holdings, Inc.</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stockholders: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3"/>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33"/>
        </w:trPr>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158"/>
        </w:trPr>
        <w:tc>
          <w:tcPr>
            <w:tcW w:w="5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3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Class A common shares outstanding:</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413,741,878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408,989,273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413,110,883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407,312,262</w:t>
            </w:r>
          </w:p>
        </w:tc>
      </w:tr>
      <w:tr>
        <w:trPr>
          <w:trHeight w:val="224"/>
        </w:trPr>
        <w:tc>
          <w:tcPr>
            <w:tcW w:w="5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413,741,878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414,439,239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9"/>
              </w:rPr>
              <w:t>413,110,883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414,666,363</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38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r>
      <w:tr>
        <w:trPr>
          <w:trHeight w:val="37"/>
        </w:trPr>
        <w:tc>
          <w:tcPr>
            <w:tcW w:w="57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5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w:t>
            </w: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foreign currency translation adjustment gains (losses)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w:t>
            </w: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Getty Images Holdings,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1"/>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Getty Images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7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Holdings, Inc.</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2"/>
        </w:trPr>
        <w:tc>
          <w:tcPr>
            <w:tcW w:w="35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920" w:type="dxa"/>
            <w:vAlign w:val="bottom"/>
            <w:gridSpan w:val="3"/>
            <w:vMerge w:val="restart"/>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9"/>
                <w:szCs w:val="9"/>
                <w:color w:val="auto"/>
              </w:rPr>
            </w:pPr>
          </w:p>
        </w:tc>
        <w:tc>
          <w:tcPr>
            <w:tcW w:w="98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9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2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8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4"/>
                <w:szCs w:val="14"/>
                <w:color w:val="auto"/>
              </w:rPr>
            </w:pPr>
          </w:p>
        </w:tc>
        <w:tc>
          <w:tcPr>
            <w:tcW w:w="7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3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412,270,402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2,017,407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(1,223,482)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(123,770)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670,196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48,144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718,340</w:t>
            </w:r>
          </w:p>
        </w:tc>
        <w:tc>
          <w:tcPr>
            <w:tcW w:w="0" w:type="dxa"/>
            <w:vAlign w:val="bottom"/>
          </w:tcPr>
          <w:p>
            <w:pPr>
              <w:spacing w:after="0"/>
              <w:rPr>
                <w:sz w:val="1"/>
                <w:szCs w:val="1"/>
                <w:color w:val="auto"/>
              </w:rPr>
            </w:pPr>
          </w:p>
        </w:tc>
      </w:tr>
      <w:tr>
        <w:trPr>
          <w:trHeight w:val="173"/>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(102,572)</w:t>
            </w: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Net foreign currency translation adjustment gains in comprehensive</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20,350</w:t>
            </w:r>
          </w:p>
        </w:tc>
        <w:tc>
          <w:tcPr>
            <w:tcW w:w="0" w:type="dxa"/>
            <w:vAlign w:val="bottom"/>
          </w:tcPr>
          <w:p>
            <w:pPr>
              <w:spacing w:after="0"/>
              <w:rPr>
                <w:sz w:val="1"/>
                <w:szCs w:val="1"/>
                <w:color w:val="auto"/>
              </w:rPr>
            </w:pPr>
          </w:p>
        </w:tc>
      </w:tr>
      <w:tr>
        <w:trPr>
          <w:trHeight w:val="157"/>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1,146,766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4,978</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413,417,168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2,022,385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(1,326,054)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(103,420)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592,952</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48,144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641,096</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income</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(35,069)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(35,069)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(34,359)</w:t>
            </w:r>
          </w:p>
        </w:tc>
        <w:tc>
          <w:tcPr>
            <w:tcW w:w="0" w:type="dxa"/>
            <w:vAlign w:val="bottom"/>
          </w:tcPr>
          <w:p>
            <w:pPr>
              <w:spacing w:after="0"/>
              <w:rPr>
                <w:sz w:val="1"/>
                <w:szCs w:val="1"/>
                <w:color w:val="auto"/>
              </w:rPr>
            </w:pPr>
          </w:p>
        </w:tc>
      </w:tr>
      <w:tr>
        <w:trPr>
          <w:trHeight w:val="157"/>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foreign currency translation adjustment losses in</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comprehensive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47,719</w:t>
            </w: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1,394,138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0" w:type="dxa"/>
            <w:vAlign w:val="bottom"/>
          </w:tcPr>
          <w:p>
            <w:pPr>
              <w:spacing w:after="0"/>
              <w:rPr>
                <w:sz w:val="1"/>
                <w:szCs w:val="1"/>
                <w:color w:val="auto"/>
              </w:rPr>
            </w:pPr>
          </w:p>
        </w:tc>
      </w:tr>
      <w:tr>
        <w:trPr>
          <w:trHeight w:val="173"/>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4,253</w:t>
            </w:r>
          </w:p>
        </w:tc>
        <w:tc>
          <w:tcPr>
            <w:tcW w:w="0" w:type="dxa"/>
            <w:vAlign w:val="bottom"/>
          </w:tcPr>
          <w:p>
            <w:pPr>
              <w:spacing w:after="0"/>
              <w:rPr>
                <w:sz w:val="1"/>
                <w:szCs w:val="1"/>
                <w:color w:val="auto"/>
              </w:rPr>
            </w:pPr>
          </w:p>
        </w:tc>
      </w:tr>
      <w:tr>
        <w:trPr>
          <w:trHeight w:val="30"/>
        </w:trPr>
        <w:tc>
          <w:tcPr>
            <w:tcW w:w="3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414,811,306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2,027,941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(1,361,123)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611,158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48,854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660,012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060"/>
          </w:cols>
          <w:pgMar w:left="320" w:top="513"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Getty Images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66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Holdings, Inc.</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12"/>
        </w:trPr>
        <w:tc>
          <w:tcPr>
            <w:tcW w:w="362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40" w:type="dxa"/>
            <w:vAlign w:val="bottom"/>
            <w:gridSpan w:val="3"/>
            <w:vMerge w:val="restart"/>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9"/>
                <w:szCs w:val="9"/>
                <w:color w:val="auto"/>
              </w:rPr>
            </w:pPr>
          </w:p>
        </w:tc>
        <w:tc>
          <w:tcPr>
            <w:tcW w:w="10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90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80" w:type="dxa"/>
            <w:vAlign w:val="bottom"/>
          </w:tcPr>
          <w:p>
            <w:pPr>
              <w:spacing w:after="0"/>
              <w:rPr>
                <w:sz w:val="14"/>
                <w:szCs w:val="14"/>
                <w:color w:val="auto"/>
              </w:rPr>
            </w:pPr>
          </w:p>
        </w:tc>
        <w:tc>
          <w:tcPr>
            <w:tcW w:w="7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9"/>
        </w:trPr>
        <w:tc>
          <w:tcPr>
            <w:tcW w:w="3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404,970,787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1,983,276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(1,263,015)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(87,076)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633,225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48,205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681,430</w:t>
            </w:r>
          </w:p>
        </w:tc>
        <w:tc>
          <w:tcPr>
            <w:tcW w:w="0" w:type="dxa"/>
            <w:vAlign w:val="bottom"/>
          </w:tcPr>
          <w:p>
            <w:pPr>
              <w:spacing w:after="0"/>
              <w:rPr>
                <w:sz w:val="1"/>
                <w:szCs w:val="1"/>
                <w:color w:val="auto"/>
              </w:rPr>
            </w:pPr>
          </w:p>
        </w:tc>
      </w:tr>
      <w:tr>
        <w:trPr>
          <w:trHeight w:val="173"/>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13,587</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foreign currency translation adjustment (losses) in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comprehensive income</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(15,606)</w:t>
            </w:r>
          </w:p>
        </w:tc>
        <w:tc>
          <w:tcPr>
            <w:tcW w:w="0" w:type="dxa"/>
            <w:vAlign w:val="bottom"/>
          </w:tcPr>
          <w:p>
            <w:pPr>
              <w:spacing w:after="0"/>
              <w:rPr>
                <w:sz w:val="1"/>
                <w:szCs w:val="1"/>
                <w:color w:val="auto"/>
              </w:rPr>
            </w:pPr>
          </w:p>
        </w:tc>
      </w:tr>
      <w:tr>
        <w:trPr>
          <w:trHeight w:val="157"/>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2,904,154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Common shares withheld for settlement of taxes in connection with</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(570,708)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0" w:type="dxa"/>
            <w:vAlign w:val="bottom"/>
          </w:tcPr>
          <w:p>
            <w:pPr>
              <w:spacing w:after="0"/>
              <w:rPr>
                <w:sz w:val="1"/>
                <w:szCs w:val="1"/>
                <w:color w:val="auto"/>
              </w:rPr>
            </w:pPr>
          </w:p>
        </w:tc>
      </w:tr>
      <w:tr>
        <w:trPr>
          <w:trHeight w:val="173"/>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10,030</w:t>
            </w:r>
          </w:p>
        </w:tc>
        <w:tc>
          <w:tcPr>
            <w:tcW w:w="0" w:type="dxa"/>
            <w:vAlign w:val="bottom"/>
          </w:tcPr>
          <w:p>
            <w:pPr>
              <w:spacing w:after="0"/>
              <w:rPr>
                <w:sz w:val="1"/>
                <w:szCs w:val="1"/>
                <w:color w:val="auto"/>
              </w:rPr>
            </w:pPr>
          </w:p>
        </w:tc>
      </w:tr>
      <w:tr>
        <w:trPr>
          <w:trHeight w:val="29"/>
        </w:trPr>
        <w:tc>
          <w:tcPr>
            <w:tcW w:w="3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407,304,233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1,993,009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(1,249,560)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(102,682)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640,808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48,337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689,145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62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Net income (loss)</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3,847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3,847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3,689</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Net foreign currency translation adjustment gains in comprehensive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0" w:type="dxa"/>
            <w:vAlign w:val="bottom"/>
          </w:tcPr>
          <w:p>
            <w:pPr>
              <w:spacing w:after="0"/>
              <w:rPr>
                <w:sz w:val="1"/>
                <w:szCs w:val="1"/>
                <w:color w:val="auto"/>
              </w:rPr>
            </w:pPr>
          </w:p>
        </w:tc>
      </w:tr>
      <w:tr>
        <w:trPr>
          <w:trHeight w:val="157"/>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1,692,292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Common shares withheld for settlement of taxes in connection with</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73"/>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shares in connection with acquisition</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1,189,061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410,148,296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2,005,180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(1,245,713)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(105,478)</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654,030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48,179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702,209</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34" w:right="5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1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19050</wp:posOffset>
            </wp:positionV>
            <wp:extent cx="1945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9"/>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(136,931)</w:t>
            </w:r>
          </w:p>
        </w:tc>
        <w:tc>
          <w:tcPr>
            <w:tcW w:w="10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17,276</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30,175</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gain (losses) on foreign denominated debt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(15,128)</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Equity-based compensation</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13,148</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Debt extinguishment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Deferred income taxes –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8,725</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Uncertain tax positions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(1,854)</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fair value adjustment for swaps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1,459</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1,283</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operating lease costs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6,049</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14,391</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(5,440)</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Accrued expenses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3,400</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Insurance recovery receivable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2,124</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Litigation reserves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2,699</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Lease liabilities, non-current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(6,118)</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Income taxes receivable/payable</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(3,965)</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payable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Deferred revenue</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(3,058)</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1,313</w:t>
            </w:r>
          </w:p>
        </w:tc>
      </w:tr>
      <w:tr>
        <w:trPr>
          <w:trHeight w:val="35"/>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67,971</w:t>
            </w:r>
          </w:p>
        </w:tc>
      </w:tr>
      <w:tr>
        <w:trPr>
          <w:trHeight w:val="183"/>
        </w:trPr>
        <w:tc>
          <w:tcPr>
            <w:tcW w:w="81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of property and equipment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(29,833)</w:t>
            </w: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Acquisition of a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(14,906)</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(31,817)</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(44,739)</w:t>
            </w:r>
          </w:p>
        </w:tc>
      </w:tr>
      <w:tr>
        <w:trPr>
          <w:trHeight w:val="35"/>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8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1,040,872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refinancing costs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w:t>
            </w:r>
          </w:p>
        </w:tc>
      </w:tr>
      <w:tr>
        <w:trPr>
          <w:trHeight w:val="37"/>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Prepayment of debt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(1,024,278)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(35,200)</w:t>
            </w: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common stock issuance</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w:t>
            </w:r>
          </w:p>
        </w:tc>
      </w:tr>
      <w:tr>
        <w:trPr>
          <w:trHeight w:val="37"/>
        </w:trPr>
        <w:tc>
          <w:tcPr>
            <w:tcW w:w="8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settlement of employee taxes related to equity-based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(2,625)</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(21,299)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(34,774)</w:t>
            </w:r>
          </w:p>
        </w:tc>
      </w:tr>
      <w:tr>
        <w:trPr>
          <w:trHeight w:val="35"/>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8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Effects of exchange rates fluctuations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(3,076)</w:t>
            </w:r>
          </w:p>
        </w:tc>
      </w:tr>
      <w:tr>
        <w:trPr>
          <w:trHeight w:val="35"/>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(14,618)</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 Beginning of period</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140,850</w:t>
            </w:r>
          </w:p>
        </w:tc>
      </w:tr>
      <w:tr>
        <w:trPr>
          <w:trHeight w:val="35"/>
        </w:trPr>
        <w:tc>
          <w:tcPr>
            <w:tcW w:w="8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 End of period</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126,232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513" w:right="339" w:bottom="8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848"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Company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Getty Images Holdings, Inc. (the “Company” or “Getty Images”) is a preeminent global visual content creator and marketplace that offers a full range of content solutions to meet the needs of customers around the globe, no matter their size. Through Getty Images, iStock, and Unsplash brands, websites, and APIs, the Company serves customers in almost every country in the world and is one of the first places people turn to discover, purchase, and share powerful visual content from the world’s best photographers and videographers. The Company brings content to media outlets, advertising agencies, and corporations and increasingly serves individual creators and prosumers.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Shutterstock</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6, 2025, Getty Images entered into an Agreement and Plan of Merger (the “Merger Agreement”) to combine in a merger-of-equals transaction with Shutterstock, Inc. (“Shutterstock”) (such transaction referred to herein as the “Merger”). Subject to terms and conditions in the Merger Agreement, the aggregate consideration to be paid by Getty Images in respect of the outstanding shares of common stock of Shutterstock will be:</w:t>
      </w:r>
    </w:p>
    <w:p>
      <w:pPr>
        <w:spacing w:after="0" w:line="196" w:lineRule="exact"/>
        <w:rPr>
          <w:sz w:val="20"/>
          <w:szCs w:val="20"/>
          <w:color w:val="auto"/>
        </w:rPr>
      </w:pPr>
    </w:p>
    <w:p>
      <w:pPr>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(the “Total Cash Amount”); and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 (the “Total Stock Amount”).</w:t>
      </w:r>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Each of the Total Cash Amount and the Total Stock Amount will be fixed as of immediately prior to closing of the Merger. Therefore, cash elections will be subject to proration if cash elections are oversubscribed and stock elections will be subject to proration if stock elections are oversubscribed. Each holder of Shutterstock common stock immediately prior to the transaction close will have the option to receive, subject to proration, for each share of Shutterstock common stock held by such holder:</w:t>
      </w:r>
    </w:p>
    <w:p>
      <w:pPr>
        <w:spacing w:after="0" w:line="20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close of the transaction, based on the common shares outstanding as of April 25, 2025, Getty Images stockholders will own approximately 53.0% and Shutterstock stockholders will own approximately 47.0% of the combined company on a fully diluted basis. The transaction is subject to the satisfaction of customary closing conditions, including receipt of required regulatory approvals, and other customary closing conditions.</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Getty Images has expensed $14.4 million and $32.4 million of legal, accounting, and other direct costs related to this proposed Merger in “</w:t>
      </w:r>
      <w:r>
        <w:rPr>
          <w:rFonts w:ascii="Times New Roman" w:cs="Times New Roman" w:eastAsia="Times New Roman" w:hAnsi="Times New Roman"/>
          <w:sz w:val="18"/>
          <w:szCs w:val="18"/>
          <w:i w:val="1"/>
          <w:iCs w:val="1"/>
          <w:color w:val="auto"/>
        </w:rPr>
        <w:t>Other operating expenses (income) – net</w:t>
      </w:r>
      <w:r>
        <w:rPr>
          <w:rFonts w:ascii="Times New Roman" w:cs="Times New Roman" w:eastAsia="Times New Roman" w:hAnsi="Times New Roman"/>
          <w:sz w:val="18"/>
          <w:szCs w:val="18"/>
          <w:color w:val="auto"/>
        </w:rPr>
        <w:t>” in the Condensed Consolidated Statements of Operations, respectively.</w:t>
      </w:r>
    </w:p>
    <w:p>
      <w:pPr>
        <w:spacing w:after="0" w:line="19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January 28, 2025, Getty Images filed its Premerger Notification and Report Form under the HSR Act (“HSR Filing”). On February 27, 2025 Getty Images withdrew its HSR Filing and refiled it on March 3, 2025.</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 2025, Getty Images and Shutterstock announced that they had each received a Request for Additional Information and Documentary Material (“Second Request”) from the U.S. Department of Justice (“DOJ”) in connection with the transaction. The Second Request was issued under notification requirements of the HSR Act. The effect of the Second Request is to extend the waiting period imposed by the HSR Act until 30 days after Getty Images and Shutterstock</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substantially complied with the request, unless that period is extended voluntarily by the parties or terminated sooner by the DOJ.</w:t>
      </w:r>
    </w:p>
    <w:p>
      <w:pPr>
        <w:spacing w:after="0" w:line="2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submission of a briefing paper, on April 22, 2025, the United Kingdom Competition and Markets Authority invited Getty Images to submit a Merger Notice and their review process is ongoing.</w:t>
      </w:r>
    </w:p>
    <w:p>
      <w:pPr>
        <w:spacing w:after="0" w:line="17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June 10, 2025, Shutterstock held a Special Meeting of Stockholders (the “Special Meeting”) in connection with the proposed merger with Getty Images. At the Special Meeting, Shutterstock’s stockholders approved the proposal to adopt the Merger Agreement.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associated with the transaction, please see the Company filings from time to time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27"/>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Getty Images have been prepared pursuant to the rules and regulations of the Securities and Exchange Commission (“SEC”) regarding interim financial reporting. Accordingly, they do not include all of the information and notes required by generally accepted accounting principles in the United States of America (“U.S. GAAP”) for complete financial statements and should be read in conjunction with the audited consolidated financial statements included in the Company’s Annual Report on Form 10-K for the year ended December 31, 2024, filed with the SEC on March 17, 2025 (the “2024 Form 10-K”).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have been prepared on the same basis as the audited consolidated financial statements, and include all adjustments, consisting only of normal recurring adjustments, necessary for the fair presentation of the results of the interim periods presented. Operating results for the three and six months ended June 30, 2025 are not necessarily indicative of the results to be expected for any future period or the entire year.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Certain prior year amounts have been reclassified to conform to the current year’s presentation. Certain prior year disaggregated revenue amounts have been reclassified to conform to the current year presentation.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have been no changes to the significant accounting policies described in the 2024 Form 10-K that have had a material impact on the Company’s condensed consolidated financial statements and related notes. 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 net, are trade receivables net of reserves for allowances for doubtful accounts totaling $6.1 million and $6.2 million as of June 30, 2025 and December 31, 2024, respectively. The Company recorded immaterial bad debt expense for the three and six months ended June 30, 2025, and $0.4 million and $0.7 million of bad debt expense for the three and six months ended June 30, 2024,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Allowance for doubtful accounts is calculated based on the current estimate of expected lifetime credit losses, which includes assumptions such as historical losses, existing economic conditions, and analysis of specific older account balances of customer and delegate accounts. Trade receivables are written off when collection efforts have been exhausted.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(Loss) Gain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w:t>
      </w:r>
    </w:p>
    <w:p>
      <w:pPr>
        <w:spacing w:after="0" w:line="20"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The Company recognized foreign exchange loss, net of $54.8 million and $79.8 million for the three and six months ended June 30, 2025, respectively, compared with net gains of $2.4 million and $18.9 million for the three and six months ended June 30, 2024, respectively. These changes are primarily driven by volatility in foreign exchange rates, including fluctuations in the EUR related to our Old EUR Term Loans and New EUR Term Loans in the three and six months ended June 30, 2025 and 2024. See “Note 7 - Debt” for additional discussion on the Company’s debt.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Minority Investments without Readily Determinable Fair Value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carrying amount of the minority investments, which is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Condensed Consolidated Balance Sheets was</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$2.1 million and $1.9 million as of June 30, 2025 and December 31, 2024, respectively. The Company uses the measurement alternative for these equity investments, and their carrying value is reported at cost, adjusted for impairments, or any observable price changes in ordinary transactions with identical or similar investments. Revenue related to content consumed by the minority investees was not material during the three and six months ended June 30, 2025 and 2024.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evaluates the carrying value of its long-term investments for impairment, which includes an assessment of revenue growth, earnings performance, working capital, and general market conditions. As of June 30, 2025, no adjustments to the carrying values of the Company’s long-term investments were identified as a result of this assessment.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standard-setting bodies that are adopted by the Company as of the specified effective date. Unless otherwise discussed, the Company believes that the issued standards that are not yet effective will not have a material impact on its condensed consolidated financial statements and disclosures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9" w:lineRule="exact"/>
        <w:rPr>
          <w:sz w:val="20"/>
          <w:szCs w:val="20"/>
          <w:color w:val="auto"/>
        </w:rPr>
      </w:pPr>
    </w:p>
    <w:p>
      <w:pPr>
        <w:jc w:val="both"/>
        <w:ind w:firstLine="279"/>
        <w:spacing w:after="0" w:line="258" w:lineRule="auto"/>
        <w:rPr>
          <w:sz w:val="20"/>
          <w:szCs w:val="20"/>
          <w:color w:val="auto"/>
        </w:rPr>
      </w:pPr>
      <w:r>
        <w:rPr>
          <w:rFonts w:ascii="Times New Roman" w:cs="Times New Roman" w:eastAsia="Times New Roman" w:hAnsi="Times New Roman"/>
          <w:sz w:val="18"/>
          <w:szCs w:val="18"/>
          <w:color w:val="auto"/>
        </w:rPr>
        <w:t>Revenue is derived from licensing rights to use images, video footage, and music delivered digitally online. Digital content licenses are generally purchased on a monthly or annual subscription basis, whereby a customer either pays for a predetermined quantity of content or for access to the Company’s content library that may be downloaded over a specific period of time, or, on a transactional basis, whereby a customer pays for individual content licenses at the time of download. Also, a significant portion of revenue is generated through the sale and subsequent use of credits. Various amounts of credits are required to license digital content.</w:t>
      </w:r>
    </w:p>
    <w:p>
      <w:pPr>
        <w:spacing w:after="0" w:line="183" w:lineRule="exact"/>
        <w:rPr>
          <w:sz w:val="20"/>
          <w:szCs w:val="20"/>
          <w:color w:val="auto"/>
        </w:rPr>
      </w:pPr>
    </w:p>
    <w:p>
      <w:pPr>
        <w:jc w:val="both"/>
        <w:ind w:firstLine="251"/>
        <w:spacing w:after="0" w:line="261" w:lineRule="auto"/>
        <w:rPr>
          <w:sz w:val="20"/>
          <w:szCs w:val="20"/>
          <w:color w:val="auto"/>
        </w:rPr>
      </w:pPr>
      <w:r>
        <w:rPr>
          <w:rFonts w:ascii="Times New Roman" w:cs="Times New Roman" w:eastAsia="Times New Roman" w:hAnsi="Times New Roman"/>
          <w:sz w:val="18"/>
          <w:szCs w:val="18"/>
          <w:color w:val="auto"/>
        </w:rPr>
        <w:t>The Company recognizes revenue under the core principle to depict the transfer of control to the Company’s customers in an amount reflecting the consideration to which the Company expects to be entitled. To achieve that core principle, the Company applies the following five-step approach: (i) identify the contract with a customer, (ii) identify the performance obligations in the contract, (iii) determine the transaction price, (iv) allocate the transaction price to the performance obligations in the contract and (v) recognize revenue when a performance obligation is satisfied.</w:t>
      </w:r>
    </w:p>
    <w:p>
      <w:pPr>
        <w:spacing w:after="0" w:line="180" w:lineRule="exact"/>
        <w:rPr>
          <w:sz w:val="20"/>
          <w:szCs w:val="20"/>
          <w:color w:val="auto"/>
        </w:rPr>
      </w:pPr>
    </w:p>
    <w:p>
      <w:pPr>
        <w:jc w:val="both"/>
        <w:ind w:firstLine="281"/>
        <w:spacing w:after="0" w:line="258" w:lineRule="auto"/>
        <w:rPr>
          <w:sz w:val="20"/>
          <w:szCs w:val="20"/>
          <w:color w:val="auto"/>
        </w:rPr>
      </w:pPr>
      <w:r>
        <w:rPr>
          <w:rFonts w:ascii="Times New Roman" w:cs="Times New Roman" w:eastAsia="Times New Roman" w:hAnsi="Times New Roman"/>
          <w:sz w:val="18"/>
          <w:szCs w:val="18"/>
          <w:color w:val="auto"/>
        </w:rPr>
        <w:t>For digital content licenses, the Company recognizes revenue on its capped subscription-based, credit-based sales and single image licenses when content is downloaded, at which time the license is provided. In addition, management estimates expected unused licenses for capped subscription-based and credit-based products and recognizes the revenue associated with the unused licenses throughout the subscription or credit period. The estimate of unused licenses is based on historical download activity and future changes in the estimate could impact the timing of revenue recognition of the Company’s subscription products.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uncapped digital content subscriptions, the Company has determined that access to the existing content library and future digital content updates represent two separate performance obligations. As such, a portion of the total contract consideration related to access to the existing content library is recognized as revenue at the commencement of the contract when control of the content library is transferred. The remaining contractual consideration is recognized as revenue ratably over the term of the contract when updated digital content is transferred to the licensee, in line with when the control of the new content is transferred.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associated with hosted software services is recognized ratably over the term of the license.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disaggregated revenue by major product line, primary geographic market, and timing of revenue recognition.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by major product</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276,739</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Editorial</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0" w:type="dxa"/>
            <w:vAlign w:val="bottom"/>
          </w:tcPr>
          <w:p>
            <w:pPr>
              <w:spacing w:after="0"/>
              <w:rPr>
                <w:sz w:val="1"/>
                <w:szCs w:val="1"/>
                <w:color w:val="auto"/>
              </w:rPr>
            </w:pPr>
          </w:p>
        </w:tc>
      </w:tr>
      <w:tr>
        <w:trPr>
          <w:trHeight w:val="26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229,140</w:t>
            </w:r>
          </w:p>
        </w:tc>
        <w:tc>
          <w:tcPr>
            <w:tcW w:w="1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458,959</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451,418</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region: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252,366</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50,451</w:t>
            </w:r>
          </w:p>
        </w:tc>
        <w:tc>
          <w:tcPr>
            <w:tcW w:w="0" w:type="dxa"/>
            <w:vAlign w:val="bottom"/>
          </w:tcPr>
          <w:p>
            <w:pPr>
              <w:spacing w:after="0"/>
              <w:rPr>
                <w:sz w:val="1"/>
                <w:szCs w:val="1"/>
                <w:color w:val="auto"/>
              </w:rPr>
            </w:pPr>
          </w:p>
        </w:tc>
      </w:tr>
      <w:tr>
        <w:trPr>
          <w:trHeight w:val="26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458,959</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451,418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June 30, 2025 deferred revenue balance will be earned as content is downloaded, services are provided, or upon the expiration of subscription-based products, and nearly all is expected to be earned within the next twelve months.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recognized revenue of $106.0 million that had been included in deferred revenue as of January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Derivative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was party to an interest rate swap agreement entered into to reduce the economic impact of interest rate fluctuations on outstanding debt. The swap matured in February 2024. This derivative financial instrument was not held or issued for trading purposes.</w:t>
      </w:r>
    </w:p>
    <w:p>
      <w:pPr>
        <w:spacing w:after="0" w:line="16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Prior to the swap maturity in February 2024, the Company did not recognize any income or expense during the three months ended June 30, 2024 and incurred a net loss of $1.5 million on the derivative for the six months ended June 30, 2024. The amounts are included in “</w:t>
      </w:r>
      <w:r>
        <w:rPr>
          <w:rFonts w:ascii="Times New Roman" w:cs="Times New Roman" w:eastAsia="Times New Roman" w:hAnsi="Times New Roman"/>
          <w:sz w:val="18"/>
          <w:szCs w:val="18"/>
          <w:i w:val="1"/>
          <w:iCs w:val="1"/>
          <w:color w:val="auto"/>
        </w:rPr>
        <w:t>(Loss) on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 for swaps – net</w:t>
      </w:r>
      <w:r>
        <w:rPr>
          <w:rFonts w:ascii="Times New Roman" w:cs="Times New Roman" w:eastAsia="Times New Roman" w:hAnsi="Times New Roman"/>
          <w:sz w:val="18"/>
          <w:szCs w:val="18"/>
          <w:color w:val="auto"/>
        </w:rPr>
        <w:t>” on the Condensed Consolidated Statements of Operations. The Company did not recognize any income or expense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June 30,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and debt. Assets and liabilities measured at fair value on a recurring basis (cash equivalents) and a nonrecurring basis (debts) are categorized in the tables below.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money market funds is based on quoted active market prices and is determined using the market approach. The fair values of the Company’s interest rate swap contracts were based on market quotes provided by the counterparty. Quotes by the counterparty were calculated based on observable current rates and forward interest rate curves. The Company recalculated and validated this fair value using publicly available market inputs using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approach. The fair value of the Company’s Old Term Loans, New Term Loans, Senior Secured Notes and Senior Unsecured Notes are based on market quotes provided by a third-party pricing source.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level in the fair value hierarchy as of June 30,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66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9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16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Term Loans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525,473</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535,895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295,125</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level in the fair value hierarchy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66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9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16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 Term Loans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1,013,231</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298,965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Company’s non-financial assets and liabilities, which include goodwill and long-lived assets held and used, are not required to be measured at fair value on a recurring basis. However, if certain triggering events occur or if an annual impairment test is required, the Company would evaluate the non-financial assets and liabilities for impairment. If an impairment was to occur, the asset or liability would be recorded at its estimated fair value. See “</w:t>
      </w:r>
      <w:r>
        <w:rPr>
          <w:rFonts w:ascii="Times New Roman" w:cs="Times New Roman" w:eastAsia="Times New Roman" w:hAnsi="Times New Roman"/>
          <w:sz w:val="18"/>
          <w:szCs w:val="18"/>
          <w:i w:val="1"/>
          <w:iCs w:val="1"/>
          <w:color w:val="auto"/>
        </w:rPr>
        <w:t>Note 7</w:t>
      </w:r>
    </w:p>
    <w:p>
      <w:pPr>
        <w:spacing w:after="0" w:line="1"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disclosures on the Old Term Loans, New Term Loans, Senior Secured Notes and Senior Unsecured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Assets and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other long-term assets: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0"/>
        </w:trPr>
        <w:tc>
          <w:tcPr>
            <w:tcW w:w="7100" w:type="dxa"/>
            <w:vAlign w:val="bottom"/>
            <w:vMerge w:val="continue"/>
          </w:tcPr>
          <w:p>
            <w:pPr>
              <w:spacing w:after="0"/>
              <w:rPr>
                <w:sz w:val="17"/>
                <w:szCs w:val="17"/>
                <w:color w:val="auto"/>
              </w:rPr>
            </w:pPr>
          </w:p>
        </w:tc>
        <w:tc>
          <w:tcPr>
            <w:tcW w:w="14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note receivable from a related party</w:t>
            </w: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and other investments</w:t>
            </w: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accrued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0"/>
        </w:trPr>
        <w:tc>
          <w:tcPr>
            <w:tcW w:w="71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26,419</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66,686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59,938</w:t>
            </w:r>
          </w:p>
        </w:tc>
        <w:tc>
          <w:tcPr>
            <w:tcW w:w="0" w:type="dxa"/>
            <w:vAlign w:val="bottom"/>
          </w:tcPr>
          <w:p>
            <w:pPr>
              <w:spacing w:after="0"/>
              <w:rPr>
                <w:sz w:val="1"/>
                <w:szCs w:val="1"/>
                <w:color w:val="auto"/>
              </w:rPr>
            </w:pPr>
          </w:p>
        </w:tc>
      </w:tr>
      <w:tr>
        <w:trPr>
          <w:trHeight w:val="27"/>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Debt included the following:</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Old USD Term Loans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579,200</w:t>
            </w:r>
          </w:p>
        </w:tc>
        <w:tc>
          <w:tcPr>
            <w:tcW w:w="0" w:type="dxa"/>
            <w:vAlign w:val="bottom"/>
          </w:tcPr>
          <w:p>
            <w:pPr>
              <w:spacing w:after="0"/>
              <w:rPr>
                <w:sz w:val="1"/>
                <w:szCs w:val="1"/>
                <w:color w:val="auto"/>
              </w:rPr>
            </w:pPr>
          </w:p>
        </w:tc>
      </w:tr>
      <w:tr>
        <w:trPr>
          <w:trHeight w:val="263"/>
        </w:trPr>
        <w:tc>
          <w:tcPr>
            <w:tcW w:w="714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Old EUR Term Loans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435,190</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USD Term Loans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14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New EUR Term Loans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issuance costs, premiums and discounts amortized to interest expense</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debt –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1,341,305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1,314,424</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 The table above converted the Old EUR Term Loans and New EUR Term Loans to USD using currency exchange rates as of those dates.</w:t>
      </w:r>
    </w:p>
    <w:p>
      <w:pPr>
        <w:spacing w:after="0" w:line="3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19, 2019, the Company issued $300.0 million of Senior Unsecured Notes due in 2027 (“Senior Unsecured Notes”) and entered into a senior secured credit facility (“Existing Credit Agreement”) consisting of (i) a $1,040.0 million term loan facility (“Old USD Term Loans”), (ii) a €450.0 million term loan facility (“Old EUR Term Loans” and together with the Old USD Term Loans the “Old Term Loans”) and (iii) an $80.0 million revolving credit facility that was amended in 2023 to increase the borrowing capacity to $150.0 million, which remained undrawn at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Refinancing</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21, 2025 (the “Amendment Effective Date”), the Company entered into the Second Incremental Commitment Amendment and Third Amendment to Credit Agreement (the “Refinancing Amendment”), which amended the Existing Credit Agreement. The Refinancing Amendment provided for a new tranche of senior secured fixed rate incremental term loans denominated in U.S. dollars in an aggregate principal amount of $580.0 million (the “New USD Term Loans”) and a new tranche of senior secured term loans denominated in Euros in an aggregate principal amount of €440.0 million (the “New EUR Term Loans” and together with the New USD Term Loans, the “New Term Loans”).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proceeds from the New Terms Loans were used to retire and repay the following debts: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USD Term Loans, with a $579.2 million principal amount as of the Amendment Effective Date,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EUR Term Loans, with a €419.0 million principal amount as of the Amendment Effective Date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w:t>
      </w:r>
    </w:p>
    <w:p>
      <w:pPr>
        <w:spacing w:after="0" w:line="2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New Term Loans are scheduled to mature on February 21, 2030. However, if the Company has more than $25.0 million of its Senior Unsecured Notes (or any refinancing of those notes) that are due before May 23, 2030 (which is 91 days after February 21, 2030), then the New Euro Term Loans will instead be due 91 days before the maturity date of those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Priority</w:t>
      </w:r>
    </w:p>
    <w:p>
      <w:pPr>
        <w:spacing w:after="0" w:line="25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obligations under the Existing Credit Agreement were and the obligations under the Refinancing Amendment continue to be secured by a first priority lien on substantially all of the loan parties’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Permitted Debt Exchange Offer</w:t>
      </w:r>
    </w:p>
    <w:p>
      <w:pPr>
        <w:spacing w:after="0" w:line="2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had the option to exchange the New USD Term Loans for notes with similar economics as the New USD Term Loans being exchanged (the “Permitted Debt Exchange Offer”). Lenders were not obligated to participate in the exchange when it was exercised by the Company. On May 5, 2025 (the “Permitted Debt Exchange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completed its option to exchange the New USD Term Loans for Senior Secured Notes. After the Permitted Debt Exchange Offer, the Company continued to have $40.1 million in New USD Term Loans outstanding.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2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New USD Term Loans have a fixed interest rate of 11.25% per year. This rate was set to increase to 12.25% on May 14, 2025, and then to 13.25% on August 14, 2025. However, when the Company executed a Permitted Debt Exchange Offer in May 2025, the interest rate was permanently set to 11.25%.</w:t>
      </w:r>
    </w:p>
    <w:p>
      <w:pPr>
        <w:spacing w:after="0" w:line="20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New EUR Term Loans will accrue interest at the Adjusted Eurodollar Rate plus 6.00% per annum. The Adjusted Eurodollar Rate is defined in the Refinancing Amendment and is interest rate per annum, rounded upwards to the nearest 1/16 of 1.0% equal to (a) the Eurodollar Rate for such period (EURIBOR) multiplied by (b) the Statutory Reserve Rate. If this calculated rate is less than zero, it will be considered zero instead for that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w:t>
      </w:r>
    </w:p>
    <w:p>
      <w:pPr>
        <w:spacing w:after="0" w:line="2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New USD Term Loans must be fully repaid at maturity. The New EUR Term Loans will amortize at 5.0% per annum, payable in equal quarterly installments beginning on June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Premium</w:t>
      </w:r>
    </w:p>
    <w:p>
      <w:pPr>
        <w:spacing w:after="0" w:line="25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On the New USD Term Loans, prepayment prior to the fourth anniversary of the Amendment Effective Date will be subject to a prepayment premium equal to:</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make-whole amount if made prior to the second anniversary of the Amendment Effective Date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5.625% of the principal amount prepaid if made on or after the second anniversary of the Amendment Effective Date but prior to the third anniversary of the Amendment Effective Date</w:t>
      </w: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2.813% of the principal amount prepaid if made on or after the third anniversary of the Amendment Effective Date but prior to the fourth anniversary of the Amendment Effective Date</w:t>
      </w:r>
    </w:p>
    <w:p>
      <w:pPr>
        <w:spacing w:after="0" w:line="208"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With respect to the New EUR Term Loans, any prepayment on or prior to the second anniversary of the Amendment Effective Date will be subject to a prepayment premium equal to:</w:t>
      </w:r>
    </w:p>
    <w:p>
      <w:pPr>
        <w:spacing w:after="0" w:line="18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make-whole amount if made prior to the first anniversary of the Amendment Effective Date</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New EUR Term Loans prepaid if made on or after the first anniversary of the Amendment Effective Date but prior to the second anniversary of the Amendment Effective Date</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prepayment of New Term Loans in connection with the Permitted Debt Exchange was not subject to prepayment premiums.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firstLine="432"/>
        <w:spacing w:after="0" w:line="246" w:lineRule="auto"/>
        <w:rPr>
          <w:sz w:val="20"/>
          <w:szCs w:val="20"/>
          <w:color w:val="auto"/>
        </w:rPr>
      </w:pPr>
      <w:r>
        <w:rPr>
          <w:rFonts w:ascii="Times New Roman" w:cs="Times New Roman" w:eastAsia="Times New Roman" w:hAnsi="Times New Roman"/>
          <w:sz w:val="18"/>
          <w:szCs w:val="18"/>
          <w:color w:val="auto"/>
        </w:rPr>
        <w:t xml:space="preserve">In accordance with ASC 470-50-40-2 -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the Company recorded a loss on debt extinguishment of $5.5 million within “Loss on extinguishment of debt” in the Condensed Consolidated Statements of Operations relating to the refinance of the Old Term Loans. Additionally, $3.2 million related to third-party debt issuance costs and discounts related to the new debt were expensed as “Other non-operating (expense) income – net” in the Condensed Consolidated Statements of Operations.</w:t>
      </w:r>
    </w:p>
    <w:p>
      <w:pPr>
        <w:spacing w:after="0" w:line="22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Debt issuance costs and discounts related to the New Term Loans are reported in the Condensed Consolidated Balance Sheets as a direct deduction from the face amount of the debt. These costs are amortized as a component of Interest expense in the Consolidated Statements of Operations utilizing the effective interest method.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256"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8"/>
          <w:szCs w:val="18"/>
          <w:color w:val="auto"/>
        </w:rPr>
        <w:t>The Company exercised its option to exchange its New USD Term Loans, on a dollar-for-dollar basis, up to an aggregate principal amount of $580.0 million, pursuant to the Refinance Agreement, for newly issued 11.250% Senior Secured Notes due 2030 (the “Senior Secured Notes”). The Company issued Senior Secured Notes in an aggregate principal amount of $539.9 million, pursuant to an Indenture, dated as of May 5, 2025 (the “Indenture”).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Senior Secured Notes mature on February 21, 2030 unless earlier redeemed or repurchased. No sinking fund is provided for the Senior Secured Notes. Interest is payable semi-annually in arrears on May 1 and November 1 of each year, at a rate of 11.250% per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Guarantees and Security</w:t>
      </w:r>
    </w:p>
    <w:p>
      <w:pPr>
        <w:spacing w:after="0" w:line="2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obligations under the Senior Secured Notes are fully and unconditionally guaranteed, jointly and severally, on a senior secured basis by certain of the Company’s wholly-owned domestic restricted subsidiaries, and secured by a first priority security interest in substantially all of the existing and future assets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2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Prior to February 21, 2027, the Company may redeem the Senior Secured Notes at its option at a redemption price equal to 100% of the principal amount of the Senior Secured Notes redeemed, plus a “make-whole” premium and accrued and unpaid interest.</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or after February 21, 2027, the Company may redeem the Senior Secured Notes at its option. The redemption price if redeemed during the twelve-month period beginning on February 21 of the year indicated below:</w:t>
      </w:r>
    </w:p>
    <w:p>
      <w:pPr>
        <w:spacing w:after="0" w:line="189" w:lineRule="exact"/>
        <w:rPr>
          <w:sz w:val="20"/>
          <w:szCs w:val="20"/>
          <w:color w:val="auto"/>
        </w:rPr>
      </w:pPr>
    </w:p>
    <w:p>
      <w:pPr>
        <w:ind w:left="4960" w:hanging="315"/>
        <w:spacing w:after="0"/>
        <w:tabs>
          <w:tab w:leader="none" w:pos="4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at 105.625%</w:t>
      </w:r>
    </w:p>
    <w:p>
      <w:pPr>
        <w:spacing w:after="0" w:line="27" w:lineRule="exact"/>
        <w:rPr>
          <w:rFonts w:ascii="Times New Roman" w:cs="Times New Roman" w:eastAsia="Times New Roman" w:hAnsi="Times New Roman"/>
          <w:sz w:val="18"/>
          <w:szCs w:val="18"/>
          <w:color w:val="auto"/>
        </w:rPr>
      </w:pPr>
    </w:p>
    <w:p>
      <w:pPr>
        <w:ind w:left="4960" w:hanging="315"/>
        <w:spacing w:after="0"/>
        <w:tabs>
          <w:tab w:leader="none" w:pos="4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at 102.813%</w:t>
      </w:r>
    </w:p>
    <w:p>
      <w:pPr>
        <w:spacing w:after="0" w:line="9" w:lineRule="exact"/>
        <w:rPr>
          <w:rFonts w:ascii="Times New Roman" w:cs="Times New Roman" w:eastAsia="Times New Roman" w:hAnsi="Times New Roman"/>
          <w:sz w:val="18"/>
          <w:szCs w:val="18"/>
          <w:color w:val="auto"/>
        </w:rPr>
      </w:pPr>
    </w:p>
    <w:p>
      <w:pPr>
        <w:ind w:left="4960" w:hanging="315"/>
        <w:spacing w:after="0"/>
        <w:tabs>
          <w:tab w:leader="none" w:pos="4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at 100.000%</w:t>
      </w:r>
    </w:p>
    <w:p>
      <w:pPr>
        <w:spacing w:after="0" w:line="2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may also redeem the Senior Secured Notes prior to February 21, 2027 in an amount equal to the net cash proceeds received by the Company from any equity offering at a redemption price equal to 111.250% of the principal amount plus accrued and unpaid interest, in an aggregate principal amount for all such redemptions not to exceed 40% of the aggregate principal amount of the Senior Secured Notes, provided that the redemption takes place not later than 180 days after the closing of the related equity offering; and not less than 50% of the aggregate principal amount of the Senior Secured Notes remains outstanding immediately thereafter, unless all such Senior Secured Notes are redeemed substantially concurrently.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If the Company experiences a change of control, the Company must offer to repurchase the Senior Secured Notes from the holders thereof at a purchase price equal to 101% of the aggregate principal amount thereof, plus accrued and unpaid interest.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Events of Default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terms of the Indenture, among other things, limit the ability of the Company and its restricted subsidiaries to (i) incur or guarantee additional indebtedness or issue disqualified stock or preferred stock; (ii) pay dividends and make other distributions on, or redeem or repurchase, the Company’s capital stock; (iii) make loans and investments; (iv) prepay, redeem or repurchase indebtedness; (v) incur liens securing indebtedness; (vi) enter into transactions with affiliates; (vii) consolidate, merge or convey, transfer or lease all or substantially all of its assets; (viii) enter into agreements that restrict the ability of restricted subsidiaries to make dividends or other payments to the Company; (ix) designate the Company’s subsidiaries as unrestricted subsidiaries; and (x) transfer or sell assets.</w:t>
      </w:r>
    </w:p>
    <w:p>
      <w:pPr>
        <w:spacing w:after="0" w:line="21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Senior Secured Note issuance was accounted for as a continuation of the original refinance and $2.8 million of third-party costs incurred in connection with the Permitted Debt Exchange do not represent debt issuance costs. ASC 470 requires such costs to be immediately expensed as incurred. These costs were recorded as “Other non-operating (expense) income – net” in the Condensed Consolidated Statements of Operations</w:t>
      </w:r>
    </w:p>
    <w:p>
      <w:pPr>
        <w:spacing w:after="0" w:line="20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the Permitted Debt Exchange Date, the Company had previously unamortized deferred fees and premiums of approximately $4.7 million allocated to the lenders of the New USD Term Loans that participated in the Exchange. These costs are reported in the Condensed Consolidated Balance Sheets as a direct deduction from the face amount of the Senior Secured Notes. These costs are amortized as a component of Interest expense in the Consolidated Statements of Operations utilizing the effective interest method.</w:t>
      </w:r>
    </w:p>
    <w:p>
      <w:pPr>
        <w:spacing w:after="0" w:line="2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expensed $2.8 million and $6.0 million, respectively, in third-party costs related to the Refinancing Amendment and Permitted Debt Exchange that did not qualify as debt issuance costs under ASC 470. The Company recognized no loss on debt extinguishment for the three months ended June 30, 2025, and recorded a $5.5 million loss for the six months ended June 30, 2025. No comparable costs or losses were recorded during the three and six months ended June 30, 2024.</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2025, the Company was compliant with all debt covenants and obligations.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Equity-based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Under the Getty Images Holdings, Inc. 2022 Equity Incentive Plan (“2022 Plan”), the Company has awarded restricted stock units subject to time-based vesting, performance stock units subject to time-based vesting and achieving future performance criteria, and stock options subject to time-based</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vesting. The Company granted 4,510,075 awards under the 2022 Plan during the six months ended June 30, 2025. Under the 2022 Plan, up to 51,104,577 shares of Class A common stock are reserved for issuance, of which 1,831,547 are available to be issued as of June 30, 2025.</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Getty Images Holdings, Inc. Earn Out Plan (“Earn Out Plan”) provides for the grant of restricted stock units, which generally vest upon grant. Under the Earn Out Plan, up to 6,000,000 shares of Class A common stock are reserved for issuance, of which 20,856 are available to be issued as of June 30, 2025. The Company did not grant awards under the Earn Out Plan during the six months ended June 30, 2025.</w:t>
      </w:r>
    </w:p>
    <w:p>
      <w:pPr>
        <w:spacing w:after="0" w:line="20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Equity-based compensation expense is recorded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in the Condensed Consolidated Statements of Operations, net of estimated forfeitures. The Company recognized equity-based compensation - net of estimated forfeitures of $4.3 million and $9.2 million</w:t>
      </w: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respectively. The Company recognized equity-based compensation - net of estimated forfeitures of $4.4 million and $14.4 million for the three and six months ended June 30, 2024, respectively. The Company capitalized $0.5 million and $0.9 million of equity-based compensation expense associated with the cost of developing internal-use software during the three and six months ended June 30, 2025, respectively. The Company capitalized $0.4 million and $1.2 million of equity-based compensation expense associated with the cost of developing internal-use software during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Net (Loss) Income per Share Attributable to Common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(loss) income per share attributable to common stockholders is calculated by dividing the net (loss) income attributable to common stockholders by the weighted-average number of shares of common stock outstanding for the period, without consideration of potentially dilutive securities.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periods where the Company recognizes a net loss, diluted net loss per share attributable to common stockholders is the same as basic net loss per share attributable to common stockholders since the effect of potentially dilutive securities is anti-dilutive.</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Diluted net income per share is computed by dividing the net income attributable to common stockholders by the weighted average common shares outstanding and all potential common shares, if they are dilutive. The potentially dilutive effect of options is computed using the treasury stock method. Securities that potentially have an anti-dilutive effect are excluded from the diluted earnings per share calculation.</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income per share of Class A common stock (amounts in thousands, except share and per share amounts):</w:t>
      </w: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Getty Images Holdings, Inc. - Basic</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Class A common stock outstanding:</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413,741,878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408,989,273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413,110,883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407,312,262</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7,354,101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413,741,878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414,439,239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413,110,883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414,666,363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share of Class A common stock attributable to</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Getty Images Holdings, Inc. common stockholders: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the Company had a net loss for the three and six months ended June 30, 2025, the diluted net loss per share does not include 31.9 million shares of Class A common stock in equity-based compensation awards as their effect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interim periods is determined using an estimate of the Company’s annual effective tax rate as prescribed under ASC 740 “Income Taxes” (“ASC 740”). Any changes to the estimated annual tax rate are recorded in the interim period in which the changes occur.</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estimated annual effective tax rate is subject to significant volatility due to several factors, including changes in the forecasted pre-tax income (loss) and income tax (expense) benefit, realizability of deferred tax assets, intercompany transactions, foreign currency gain (loss), mergers and acquisitions, jurisdictional footprints, and changes in the Company’s business operations. In addition, the effective tax rate’s volatility depends on the amount of pre-tax income (loss). For example, the impact of non-taxable, non-deductible, and discrete items on the effective tax rate is greater when the pre-tax income (loss) is smaller.</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benefit of $23.3 million and income tax expense of $12.5 million for the three months ended June 30, 2025 and 2024, respectively, and income tax expense of $41.3 million and $23.7 million for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six months ended June 30, 2025 and 2024, respectively. For 2025, the Company’s effective tax rate is expected to be a large negative percentage due to the Company’s pre-tax loss and income tax expense items that are not analogous to pre-tax loss, such as foreign withholding taxes, non-deductible interest expense, and change in valuation allowance. The effective tax rate may vary significantly throughout the year depending on the changes in the pre-tax income (loss).</w:t>
      </w:r>
    </w:p>
    <w:p>
      <w:pPr>
        <w:spacing w:after="0" w:line="19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various tax provisions, such as extending and modifying certain Tax Cuts and Jobs Act provisions and the international tax framework. The Company is currently evaluating the impact of the OBBBA on its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financial information for the Company’s segment, including significant expenses and other segment expense items are listed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8"/>
                <w:szCs w:val="18"/>
                <w:color w:val="auto"/>
              </w:rPr>
            </w:pPr>
          </w:p>
        </w:tc>
        <w:tc>
          <w:tcPr>
            <w:tcW w:w="270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16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451,418</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 items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123,353</w:t>
            </w: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Selling, general &amp; administrative expenses</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85,269</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165,419</w:t>
            </w:r>
          </w:p>
        </w:tc>
      </w:tr>
      <w:tr>
        <w:trPr>
          <w:trHeight w:val="24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23,609</w:t>
            </w: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22,367</w:t>
            </w:r>
          </w:p>
        </w:tc>
        <w:tc>
          <w:tcPr>
            <w:tcW w:w="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51,545</w:t>
            </w:r>
          </w:p>
        </w:tc>
      </w:tr>
      <w:tr>
        <w:trPr>
          <w:trHeight w:val="23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87,492</w:t>
            </w: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(66,614)</w:t>
            </w: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20,097</w:t>
            </w:r>
          </w:p>
        </w:tc>
      </w:tr>
      <w:tr>
        <w:trPr>
          <w:trHeight w:val="23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(loss) before income taxes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40,975</w:t>
            </w: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 income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w:t>
            </w:r>
          </w:p>
        </w:tc>
      </w:tr>
      <w:tr>
        <w:trPr>
          <w:trHeight w:val="27"/>
        </w:trPr>
        <w:tc>
          <w:tcPr>
            <w:tcW w:w="4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segment profit or loss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(136,931)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17,276</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significant segment expense items are expense information that is regularly provided to the CODM.</w:t>
      </w:r>
    </w:p>
    <w:p>
      <w:pPr>
        <w:ind w:left="80" w:hanging="72"/>
        <w:spacing w:after="0" w:line="201" w:lineRule="auto"/>
        <w:tabs>
          <w:tab w:leader="none" w:pos="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Selling, general and administrative expenses, excluding Marketing costs and Equity compensation expenses.</w:t>
      </w:r>
    </w:p>
    <w:p>
      <w:pPr>
        <w:ind w:left="80" w:hanging="72"/>
        <w:spacing w:after="0" w:line="188" w:lineRule="auto"/>
        <w:tabs>
          <w:tab w:leader="none" w:pos="8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Depreciation, Amortization, Other operating expense (income) - net, Loss on litigation, Recovery of loss on litigation, and Equity compensation expenses.</w:t>
      </w:r>
    </w:p>
    <w:p>
      <w:pPr>
        <w:ind w:firstLine="8"/>
        <w:spacing w:after="0" w:line="217" w:lineRule="auto"/>
        <w:tabs>
          <w:tab w:leader="none" w:pos="9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segment non-operating income (expense) includes (Loss) on fair value adjustment for swaps – net, Foreign exchange (loss) gain – net, Loss on extinguishment of debt, and Other non-operating (expense) income – net</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intra-entity sales or transfers. Asset information on a segment basis is not different than that presented in the Condensed Consolidated Balance Sheets.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Legal Proceedings and Contingencies</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previously issued 20,700,000 public warrants, which were governed by a Warrant Agreement, dated August 4, 2020 (the “Warrant Agreement”) and redeemed by the Company in October 2022. In late 2022 and early 2023, the Company was named as a defendant in two lawsuits filed by former public warrant holders in the United States District Court for the Southern District of New York, related to the Warrant Agreement: Alta Partners, LLC v. Getty Images Holdings, Inc., Case No. 1:22-cv-08916 (filed October 19, 2022), and CRCM Institutional Master Fund (BVI) LTD, et al. v. Getty Images Holdings, Inc., Case No. 1:23-cv-01074 (filed February 8, 2023) (together, the “Initial Warrant Litigation”). Alta Partners, LLC (“Alta”) and the CRCM Institutional Master Fund (BVI), LTD parties (“CRCM” and together with Alta, the “Plaintiffs”) generally alleged that the Company had breached the Warrant Agreement by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purportedly refusing to permit warrant holders to exercise the public warrants beginning thirty days after the July 2022 business combination pursuant to which the Company became a public company closed and issue shares of the Company’s common stock in respect of the warrant exercises on the basis of the Company’s Form S-4 registration statement that had been filed and declared effective by the SEC in connection with the business combination, and alternative claims for violations of federal securities laws, including claims under the Securities Act of 1933 and/or the Securities Exchange Act of 1934. The Plaintiffs sought, among other things, an award of money damages measured by the difference between the market price of the Company’s common stock on the purported exercise date less the $11.50 exercise price of the warrant multiplied by the number of public warrants each Plaintiff purported to exercise, or would have sought to exercise, on the exercise date. On February 17, 2023, the Court consolidated the actions for purposes of discovery. The Company filed answers to the complaints, and discovery closed on August 28, 2023. On September 11, 2023, all parties filed cross-motions for summary judgment. On October 27, 2023, the Court issued its decision on the cross-motions for summary judgment and entered judgment in favor of Plaintiffs on their breach of contract claims and, in accordance with Plaintiffs’ calculations, awarded damages in the amount of $36.9 million for Alta with respect to 2,066,371 public warrants that it owned as of the purported exercise date and $51.0 million for CRCM with respect to 3,010,764 public warrants that they owned as of the purported exercise date, plus, in each case, pre-judgment interest of 9% per annum. The Court entered judgment in favor of the Company on all other claims asserted by Plaintiffs including a similar breach of contract claim by Alta with respect to 11,593,149 public warrants that Alta had purchased in the open market after the date on which it had purported to exercise warrants and before the warrants were redeemed by the Company, and for which Alta sought the same per warrant money damages. The Company has appealed the portion of the Court’s judgment in favor of Plaintiffs and intends to continue to defend itself vigorously. Alta has cross-appealed the portion of the Court’s judgment in favor of the Company with respect to the later-acquired public warrants. The appeals have been fully briefed and the United States Court of Appeals for the Second Circuit heard oral argument on January 22, 2025, and the appeal is sub judice. In 2023, the Company recorded a loss on litigation relating to this matter based on the criteria under ASC 450 - Contingencies (“ASC 450”).</w:t>
      </w:r>
    </w:p>
    <w:p>
      <w:pPr>
        <w:spacing w:after="0" w:line="2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 has been named as a defendant in fourteen additional lawsuits by purported former public warrant holders alleging to have owned approximately 4.2 million public warrants in the aggregate (collectively, the “Follow-On Warrant Litigation”). Two of these additional suits were filed in the United States District Court for the Southern District of New York, Daniel Berner v. Getty Images Holdings, Inc., Case No. 1:24-cv-04483-JSR (filed June 11, 2024), and James Lapp v. Getty Images Holdings, Inc., Case No. 1: 24-cv-05129-JSR (filed July 5, 2024) (the “Berner/Lapp Actions”) and were pending before the same Judge that decided the Initial Warrant Litigation. These complaints generally allege breaches of the Warrant Agreement, and Berner has plead an alternative claim for violation of federal securities laws. The Court entered an order dismissing Berner’s alternative claims for violation of federal securities laws, and the Company filed answers to the complaints with respect to plaintiffs’ contract claims. The Plaintiffs in the Berner/Lapp Actions have argued that these matters are substantially similar to the Initial Warrant Litigation, and that the decision (including the method for calculating damages, which the Company disputes) reached in the Initial Warrant Litigation should be binding on the Company in the Berner/Lapp Actions. The federal court has consolidated the Berner/Lapp Actions for all pretrial purposes and entered a schedule, which included a hearing on anticipated motions for summary judgment on December 20, 2024, and a trial in January 2025. Following the summary judgement hearing, on January 27, 2025, the Court issued a bottom-line order in the Berner/ Lapp Actions granting summary judgement to plaintiffs Berner and Lapp reciting that “[a]n Opinion explaining the reasons for this ruling will issue in due course, at which time judgment will be entered.” The Judge issued its Opinion on August 7, 2025, confirming its bottom-line order, granting summary judgment to the plaintiffs Berner and Lapp and calculating damages, including pre-judgment interest at $7.8 million. The Company has appealed the Opinion and judgment. Based on the criteria under ASC 450, the Company has included this amount in the total litigation reserve.</w:t>
      </w:r>
    </w:p>
    <w:p>
      <w:pPr>
        <w:spacing w:after="0" w:line="21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other twelve additional suits since the Initial Warrant Litigation have been filed in the New York State Supreme Court, New York County: CSS, LLC v. Getty Images Holdings, Inc., Index No. 653527/2024 (filed July 12, 2024); Walleye Manager Opportunities LLC et. al. v. Getty Images Holdings, Inc., Index No. 653528/2024 (filed July 12, 2024); Funicular Funds LP v. Getty Images Holdings, Inc., Index No. 653410/2024 (filed July 5, 2024); MPF Broadway Convexity Fund I, LP et. al. v. Getty Images Holdings, Inc., Index No. 653411/2024 (filed July 5, 2024), LMR Multi-Strategy Master Fund Limited et al. v. Getty Images Holdings, Inc., Index No. 654963/2024 (filed September 20, 2024); Jordan Flannery v. Getty Images Holdings, Inc., Index No. 654961/2024 (filed September 20, 2024); Bi-Directional Disequilibrium Fund, L.P. et al. v. Getty Images Holdings, Inc., Index No. 654960/2024 (filed September 20, 2024); Holland v. Getty Images Holdings, Inc., Index No. 655746/2024 (filed October 29, 2024); Hunsicker v. Getty Images Holdings, Inc., Index. No. 655911/2024 (filed November 7, 2024); Dasher, et al. v. Getty Images Holdings, Inc., Index No. 655913/2024 (filed November 7, 2024); Parker v. Getty Images Holdings, Inc., Index No. 659240/2024 (filed November 22, 2024); Highbridge Tactical Credit Master Fund L.P et. al. v. Getty Images Holdings, Inc., Index No. 650402/2025 (filed January 21, 2025) (the “NY State Actions”). The NY State Actions generally allege breaches of the Warrant Agreement and seek an award of money damages, and the plaintiffs in these actions could seek, and the courts could award, money damages per warrant that are less than, equal to or greater than the per warrant money damages awarded in the Initial Warrant Litigation. The Company filed answers to each of the complaints in response to NY State Actions 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2025. During a status conference on May 8, 2025, the Court ordered the claimants to file an amended complaint, consolidating all of the</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claimants. The amended complaint was filed on June 6, 2025 and the Company answered on June 26, 2025. The parties are now actively engaged in discovery and expect to have their next status conference with the court on August 28, 2025. It is possible that additional purported former warrant holders of the Company could bring additional lawsuits against the Company, its directors or officers, alleging substantially similar claims, or new or different claims relating to the public warrants. The Company intends to defend itself vigorously in the Initial Warrant Litigation, the Follow-on Warrant Litigation and any future actions and is unable to estimate any potential additional loss or range of loss that may result from the ultimate resolution of these matters, which could be material to the Company’s business, financial condition, results of operations and cash flows. As of June 30, 2025, we had a remaining insurance recovery receivable related thereto of approximately $37.6 million, with related litigation reserves of $114.0 million.</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Getty Images (US), Inc. is a plaintiff in a lawsuit filed in the United States District Court for the District of Delaware against Stability AI, Inc., Stability AI, Ltd. and Stability AI US Services Corp. The case, Getty Images (US), Inc. v. Stability AI, Inc., Case No. 1:23-cv-00135-JHL, arises out of the defendant’s alleged unauthorized reproduction of approximately 12.0 million in images from Getty Images’ websites, along with the accompanying captions and associated metadata, and use of the copied content in connection with various iterations of Stability AI’s generative artificial intelligence model known as Stable Diffusion. Getty Images (US), Inc. has asserted claims for copyright infringement; falsification of copyright management information; trademark infringement; unfair competition; trademark dilution; and deceptive trade practices. Getty Images (US), Inc. seeks, among other things, monetary damages and injunctive relief. The case was originally filed on February 3, 2023 against Stability AI, Inc., and an Amended Complaint</w:t>
      </w:r>
    </w:p>
    <w:p>
      <w:pPr>
        <w:spacing w:after="0" w:line="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adding Stability AI, Ltd. as a defendant was filed on March 29, 2023. On May 2, 2023, the defendants moved to dismiss or, in the alternative, to transfer the case to the Northern District of California. The defendants’ motion was premised on their contention that Stability AI, Ltd. is not subject to personal jurisdiction in Delaware. Getty Images served jurisdictional discovery requests on Defendants on May 12, 2023, and the parties agreed to extend Getty Images (US), Inc.’s time to respond to the motion to dismiss while the parties engage in discovery relating to the defendants’ activities within Delaware and other states in the U.S. On January 26, 2024, the court dismissed the defendants’ motion to dismiss without prejudice with leave to re-file upon the</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completion of jurisdictional discovery. Following substantial completion of jurisdictional discovery, Getty Images (US), Inc. filed an unopposed motion for leave to file a Second Amended Complaint, which was granted on July 8, 2024. The Second Amended Complaint added Stability AI US Services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Corporation as a third defendant. On July 29, 2024, the defendants filed a renewed motion to dismiss premised on their contention that Stability AI, Ltd. is not subject to personal jurisdiction in Delaware and also filed a motion to transfer the case to the Northern District of California. The motion has been fully briefed and is still pending a decision by the Court. No case schedule has been set.</w:t>
      </w:r>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Arising out of similar alleged facts, Getty Images (US), Inc., Getty Images International U.C., Getty Images (UK) Limited, Getty Images Devco UK Limited and iStockphoto LP are Claimants in proceedings issued in the High Court of England &amp; Wales against Stability AI Limited on January 16, 2023, claim number IL2023-000007, which, together with the Particulars of Claim (the Claimants’ statement of case) were served on the defendant on May 12, 2023. The Claimants assert claims for copyright infringement, infringement of database rights, trademark infringement and passing off seeks, amongst other things, monetary damages, injunctive relief and legal costs.</w:t>
      </w:r>
    </w:p>
    <w:p>
      <w:pPr>
        <w:spacing w:after="0" w:line="25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The matter went to trial in the High Court in June 2025. During the trial, the Claimants made a strategic decision to drop the claims relating to primary copyright infringement linked to the training and output of Stability AI’s model and database rights infringement and focus on the claims related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 infringement, passing off and secondary infringement of copyright , for which a ruling is expected not later than October 2025.</w:t>
      </w:r>
    </w:p>
    <w:p>
      <w:pPr>
        <w:spacing w:after="0" w:line="25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 has made certain litigation reserves in respect of the Initial and Follow-On Warrant Litigation. Although the Company cannot be certain of the outcome of any litigation or the disposition of any claims, or the amount of damages and exposure, if any, that the Company could incur, the Company does not currently believe that a material loss arising from the final disposition of existing matters is probable. Due to the inherent uncertainties of litigation and regulatory proceedings, we cannot determine with certainty the ultimate outcome of any such litigation or proceedings. If the final resolution of any such litigation or proceedings is unfavorable, our financial condition, results of operations and cash flows could be materially affected. Further,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certain types of agreements that contingently require the Company to indemnify counterparties against third-party claims. The nature and terms of these indemnifications vary from contract to contract, and generally a maximum obligation is not stated. Because management does not believe a material liability arising out of such ordinary course contingent indemnification arrangements is probable, no related liabilities were recorded at June 30, 2025 and December 31, 2024.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 has open tax audits in various jurisdictions and some of these jurisdictions require taxpayers to pay assessed taxes in advance or at the time of appealing such assessments. One such jurisdiction is Canada, where one of the Company’s subsidiaries, iStockphoto ULC, received tax assessments from the Canada Revenue Agency (“CRA”) asserting additional tax is due. The position taken by the CRA is related to the transactions between iStockphoto ULC and other affiliates within the Getty Images group for the 2015 Canadian income tax return filed. The Company believes the CRA position lacks merit and is vigorously contesting these assessments through the appeal process, including engaging with the U.S. Competent Authority.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appeal process in Canada, the Company may be required to pay a portion of the assessment amount, which the Company estimates could be up to $19.1 million. Such required payment is not an admission that the Company believes it is subject to such taxes. The Company believes it is more likely than not it will prevail on appeal, however, if the CRA were to be successful in the appeal process, the Company estimates the maximum potential outcome could be up to $27.7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the “Company,” “Getty Images,” “we,” “us,” “our” and other similar terms refer to Getty Images Holdings, Inc. and its subsidiaries.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Getty Images should be read together with our condensed consolidated financial statements and related notes included elsewhere in this Quarterly Report on Form 10-Q. The discussion should also be read together with the “Cautionary Note Regarding Forward-Looking Statements” in this Quarterly Report on Form 10-Q, and the “Item 1A. Risk Factors” section and historical audited annual consolidated financial statements of Getty Images Holdings, Inc. as of December 31, 2024 and 2023 and the respective notes thereto, included in our most recently filed Annual Report on Form 10-K (the “2024 Form 10-K”).</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We qualify as a “smaller reporting company” because the market value of our shares of Class A common stock held by non-affiliates was less than $250 million as of the end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215"/>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w:t>
      </w:r>
    </w:p>
    <w:p>
      <w:pPr>
        <w:spacing w:after="0" w:line="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license third-party content and offer relevant quality and diversity of content to satisfy customer needs;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motivate an increase in spending by our existing customers;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subscriptions business;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user experience of our customers on our websites;</w:t>
      </w:r>
    </w:p>
    <w:p>
      <w:pPr>
        <w:ind w:left="660" w:right="20" w:hanging="328"/>
        <w:spacing w:after="0" w:line="24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maintain and expand the breadth and quality of our content library through content licensed from third-party suppliers, content acquisitions and imagery captured by our staff of in-house photographers;</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and basis upon which we license our content, including the price-points at, and the license models and purchase options through, which we license our content;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operate in a highly competitive market;</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unable to successfully execute our business strategy or effectively manage costs;</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our growth;</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 effective system of internal controls and financial reporting;</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lose the right to use “Getty Images” trademarks;</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evaluate our future prospects and challenges due to evolving markets and customers’ industries;</w:t>
      </w:r>
    </w:p>
    <w:p>
      <w:pPr>
        <w:ind w:left="660" w:right="20" w:hanging="328"/>
        <w:spacing w:after="0" w:line="24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social and ethical issues relating to the use of new and evolving technologies, such as Artificial Intelligence and machine learning (collectively, “AI”), including statements regarding AI and innovation momentum;</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use of AI applications such as generative AI technologies that may result in harm to our brand, reputation, business, or intellectual property;</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operations in and continued expansion into international markets bring additional business, political, regulatory, operational, financial and economic risks;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adapt our technology systems to ingest and deliver sufficient new content;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technological interruptions or cybersecurity breaches, incidents, and vulnerabilities;</w:t>
      </w:r>
    </w:p>
    <w:p>
      <w:pPr>
        <w:spacing w:after="0" w:line="15"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prolonged strike by, or lockout of, one or more of the unions that provide personnel essential to the production of films or television programs, such as the 2023 strike by the writers’ union and the actors’ unions and including its lingering effects, could impact our entertainment business;</w:t>
      </w:r>
    </w:p>
    <w:p>
      <w:pPr>
        <w:ind w:left="66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expand our operations into new products, services and technologies and to increase customer and supplier awareness of our new and emerging products and services, including with respect to our AI initiatives;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and inability to attract and retain key personnel that could negatively impact our business growth;</w:t>
      </w:r>
    </w:p>
    <w:p>
      <w:pPr>
        <w:ind w:left="66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the proprietary information of customers and networks against security breaches and protect and enforce intellectual property rights;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our use of independent contractors;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 increase in government regulation of the industries and markets in which we operate could negatively impact our business;</w:t>
      </w:r>
    </w:p>
    <w:p>
      <w:pPr>
        <w:jc w:val="both"/>
        <w:ind w:left="660" w:hanging="328"/>
        <w:spacing w:after="0"/>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and regional political, military or economic conditions, including declines in foreign currencies in relation to the value of the U.S. dollar, hyperinflation, higher interest rates, trade wars and restrictions, tariffs, devaluation, the impact of bank failures on the marketplace and the ability to access credit and significant political or civil disturbances in international markets where we conduct business;</w:t>
      </w: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claims, judgements, lawsuits and other proceedings that have been, or may be, instituted against us or our predecessors, including pending lawsuits brought against us by former warrant holders, could adversely affect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listing of our Class A common stock on the New York Stock Exchange;</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 and in the liquidity of the trading market for our Class A common stock;</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widespread outbreak of an illness, pandemic or other local or global health issue, natural disasters, or climate change;</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evolving corporate governance and public disclosure requirements;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greater than anticipated tax liabilities;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storage and use of personally identifiable information;</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earnings-related risks such as those associated with late payments, goodwill or other intangible assets;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on commercially reasonable terms;</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being an “emerging growth company” and “smaller reporting company” within the meaning of the U.S. securities laws;</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information technology in critical areas of our operations;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pay dividends for the foreseeable future;</w:t>
      </w:r>
    </w:p>
    <w:p>
      <w:pPr>
        <w:spacing w:after="0" w:line="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additional issuances of Class A common stock without stockholder approval;</w:t>
      </w:r>
    </w:p>
    <w:p>
      <w:pPr>
        <w:ind w:left="660" w:hanging="328"/>
        <w:spacing w:after="0" w:line="23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proposed merger with Shutterstock, Inc. (“Shutterstock”);</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operating as a public company; and</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identified in “Item 1A. Risk Factors” of our most recently filed Annual Report on Form 10-K.</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report are more fully described under the heading “Item 1A. Risk Factors” in our 2024 Form 10-K and in our other filings with the SEC. The risks described under the heading “Item 1.A. Risk Factors” in our 2024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 with Shutterstock</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6, 2025, Getty Images entered into an Agreement and Plan of Merger (the “Merger Agreement”) to combine in a merger-of-equals transaction with Shutterstock. Subject to terms and conditions in the Merger Agreement, the aggregate consideration to be paid by Getty Images in respect of the outstanding shares of common stock of Shutterstock will be:</w:t>
      </w:r>
    </w:p>
    <w:p>
      <w:pPr>
        <w:spacing w:after="0" w:line="203" w:lineRule="exact"/>
        <w:rPr>
          <w:sz w:val="20"/>
          <w:szCs w:val="20"/>
          <w:color w:val="auto"/>
        </w:rPr>
      </w:pPr>
    </w:p>
    <w:p>
      <w:pPr>
        <w:jc w:val="both"/>
        <w:ind w:left="980" w:hanging="324"/>
        <w:spacing w:after="0" w:line="258"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(the “Total Cash Amount”); and</w:t>
      </w:r>
    </w:p>
    <w:p>
      <w:pPr>
        <w:spacing w:after="0" w:line="196" w:lineRule="exact"/>
        <w:rPr>
          <w:rFonts w:ascii="Times New Roman" w:cs="Times New Roman" w:eastAsia="Times New Roman" w:hAnsi="Times New Roman"/>
          <w:sz w:val="18"/>
          <w:szCs w:val="18"/>
          <w:color w:val="auto"/>
        </w:rPr>
      </w:pPr>
    </w:p>
    <w:p>
      <w:pPr>
        <w:jc w:val="both"/>
        <w:ind w:left="980" w:right="20" w:hanging="324"/>
        <w:spacing w:after="0" w:line="258"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our Class A common stock equal to the product of 9.17 multiplied by the number of shares of Shutterstock common stock outstanding immediately prior to the transaction close (including vested Shutterstock restricted stock units and performance stock units) (the “Total Stock Amount”).</w:t>
      </w:r>
    </w:p>
    <w:p>
      <w:pPr>
        <w:spacing w:after="0" w:line="196" w:lineRule="exact"/>
        <w:rPr>
          <w:sz w:val="20"/>
          <w:szCs w:val="20"/>
          <w:color w:val="auto"/>
        </w:rPr>
      </w:pPr>
    </w:p>
    <w:p>
      <w:pPr>
        <w:jc w:val="both"/>
        <w:ind w:left="340" w:right="20" w:firstLine="648"/>
        <w:spacing w:after="0" w:line="258" w:lineRule="auto"/>
        <w:rPr>
          <w:sz w:val="20"/>
          <w:szCs w:val="20"/>
          <w:color w:val="auto"/>
        </w:rPr>
      </w:pPr>
      <w:r>
        <w:rPr>
          <w:rFonts w:ascii="Times New Roman" w:cs="Times New Roman" w:eastAsia="Times New Roman" w:hAnsi="Times New Roman"/>
          <w:sz w:val="18"/>
          <w:szCs w:val="18"/>
          <w:color w:val="auto"/>
        </w:rPr>
        <w:t>Each of the Total Cash Amount and the Total Stock Amount will be fixed as of immediately prior to closing of the Merger. Therefore, cash elections will be subject to proration if cash elections are oversubscribed and stock elections will be subject to proration if stock elections are oversubscribed.</w:t>
      </w:r>
    </w:p>
    <w:p>
      <w:pPr>
        <w:spacing w:after="0" w:line="196" w:lineRule="exact"/>
        <w:rPr>
          <w:sz w:val="20"/>
          <w:szCs w:val="20"/>
          <w:color w:val="auto"/>
        </w:rPr>
      </w:pPr>
    </w:p>
    <w:p>
      <w:pPr>
        <w:jc w:val="both"/>
        <w:ind w:left="340" w:firstLine="648"/>
        <w:spacing w:after="0" w:line="266" w:lineRule="auto"/>
        <w:rPr>
          <w:sz w:val="20"/>
          <w:szCs w:val="20"/>
          <w:color w:val="auto"/>
        </w:rPr>
      </w:pPr>
      <w:r>
        <w:rPr>
          <w:rFonts w:ascii="Times New Roman" w:cs="Times New Roman" w:eastAsia="Times New Roman" w:hAnsi="Times New Roman"/>
          <w:sz w:val="18"/>
          <w:szCs w:val="18"/>
          <w:color w:val="auto"/>
        </w:rPr>
        <w:t>Each holder of Shutterstock common stock immediately prior to the transaction close will have the option to receive, subject to proration, for each share of Shutterstock common stock held by such holder:</w:t>
      </w:r>
    </w:p>
    <w:p>
      <w:pPr>
        <w:spacing w:after="0" w:line="203"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our Class A common stock;</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our Class A common stock.</w:t>
      </w:r>
    </w:p>
    <w:p>
      <w:pPr>
        <w:spacing w:after="0" w:line="2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Following the close of the transaction, based on the common shares outstanding as of April 25, 2025, Getty Images stockholders will own approximately 53.0% and Shutterstock stockholders will own approximately 47.0% of the combined company on a fully diluted basis. The transaction is subject to the satisfaction of customary closing conditions, including receipt of required regulatory approvals and other customary closing conditions.</w:t>
      </w:r>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2025, Getty Images has expensed $14.4 million and $32.4 million of legal, accounting, and other direct costs related to this proposed Merger in “</w:t>
      </w:r>
      <w:r>
        <w:rPr>
          <w:rFonts w:ascii="Times New Roman" w:cs="Times New Roman" w:eastAsia="Times New Roman" w:hAnsi="Times New Roman"/>
          <w:sz w:val="18"/>
          <w:szCs w:val="18"/>
          <w:i w:val="1"/>
          <w:iCs w:val="1"/>
          <w:color w:val="auto"/>
        </w:rPr>
        <w:t>Other operating expenses (income) – net</w:t>
      </w:r>
      <w:r>
        <w:rPr>
          <w:rFonts w:ascii="Times New Roman" w:cs="Times New Roman" w:eastAsia="Times New Roman" w:hAnsi="Times New Roman"/>
          <w:sz w:val="18"/>
          <w:szCs w:val="18"/>
          <w:color w:val="auto"/>
        </w:rPr>
        <w:t>” in the Condensed Consolidated Statements of Operations, respectively.</w:t>
      </w:r>
    </w:p>
    <w:p>
      <w:pPr>
        <w:spacing w:after="0" w:line="2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April 2, 2025, Getty Images and Shutterstock announced that they had each received a Request for Additional Information and Documentary Material (“Second Request”) from the U.S. Department of Justice (“DOJ”) in connection with the transaction. The Second Request was issued under notification requirements of the HSR Act. The effect of the Second Request is to extend the waiting period imposed by the HSR Act until 30 days after Getty Images and Shutterstock have substantially complied with the request, unless that period is extended voluntarily by the parties or terminated sooner by the DOJ.</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submission of a briefing paper, on April 22, 2025, the United Kingdom Competition and Markets Authority invited Getty Images to submit a Merger Notice and their review process is ongoing.</w:t>
      </w:r>
    </w:p>
    <w:p>
      <w:pPr>
        <w:spacing w:after="0" w:line="17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June 10, 2025, Shutterstock held a Special Meeting of Stockholders (the “Special Meeting”) in connection with the proposed merger with Getty Images. At the Special Meeting, Shutterstock’s stockholders approved the proposal to adopt the Merger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Refinancing Amendment</w:t>
      </w:r>
    </w:p>
    <w:p>
      <w:pPr>
        <w:spacing w:after="0" w:line="21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February 21, 2025 (the “Amended Effective Date”), the Company entered into the Second Incremental Commitment Amendment and Third Amendment to Credit Agreement (the “Refinancing Amendment”), which amended the Existing Credit Agreement. The Refinancing Amendment provided for a new tranche of senior secured fixed rate incremental term loans denominated in U.S. dollars in an aggregate principal amount of $580.0 million (the “New USD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Term Loans”) and a new tranche of senior secured term loans denominated in Euros in an aggregate principal amount of €440.0 million (the “New EUR Term Loans” and together with the New USD Term Loans, the “New Term Loans”).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proceeds of the New Term Loans were used to refinance in full all outstanding term loans under the existing credit agreement, and will mature on February 21, 2030. See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for additional discussion on our debt refinancing.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proceeds from the New Terms Loans were used to retire and repay the following debts:</w:t>
      </w:r>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USD Term Loans, with a $579.2 million principal amount as of the Amendment Effective Date,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EUR Term Loans, with a €419 million principal amount as of the Amendment Effective Date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Permitted Debt Exchange Offering</w:t>
      </w:r>
    </w:p>
    <w:p>
      <w:pPr>
        <w:spacing w:after="0" w:line="2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exercised its option to exchange its New USD Term Loans, on a dollar-for-dollar basis, up to an aggregate principal amount of $580.0 million, pursuant to the Refinance Agreement, for newly issued 11.250% Senior Secured Notes due 2030 (the “Senior Secured Notes”). The Company issued Senior Secured Notes in an aggregate principal amount of $539.9 million, pursuant to an Indenture, dated as of May 5, 2025 (the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Getty Images is a preeminent global visual content creator and marketplace, providing a diverse collection of high-quality photos, illustrations, videos, and music licensing to businesses, media organizations, and individuals worldwide. The Company is one of the largest and most respected providers of stock imagery and multimedia content.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over 30 years, Getty Images has embraced innovation, from analog to digital, from offline to e-commerce, from stills to video, from single image purchasing to subscriptions, from websites to application programming interfaces (“APIs”), from pre-shot content to AI generated content designed to be commercially safe. With quality content at the core of our offerings, we embrace innovation as a means to service our existing customers better and to reach new ones.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offer comprehensive content solutions, including a la carte (“ALC”) and subscription access to our pre- shot content and coverage, generative AI-services, custom content and coverage solutions, digital asset management tools, data insights, research, and print offerings.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our content and coverage, Getty Images moves the world—whether the goal is commercial or philanthropic, revenue-generating or society-changing, market-disrupting or headline-driving. Through our staff, our exclusive contributors and partners, and our expertise, data, and research, Getty Images’ content grabs attention, sheds light, represents communities, and reminds us of our history.</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Getty Images, iStock, and Unsplash, we offer a full range of content solutions to meet the needs of any customer—no matter their size— around the globe, with over 625 million visual assets available through its industry-leading sites. New content and coverage are added daily, with over 11 million new assets added each quarter and over 2.7 billion searches annually. The Company has over 707,000 purchasing customers, with customers from almost every country in the world with websites in 23 languages bringing the world’s best content to media outlets, advertising agencies, and corporations of all sizes and, increasingly, serving individual creators and prosumers.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support of its content, Getty Images employs over 115 staff photographers and videographers and distributes the content of almost 600,000 contributors and more than 355 premium content partners. Over 82,000 of our contributors are exclusive to the Company, creating content that cannot be found anywhere else. Each year, we cover more than 160,000 global events across news, sport, and entertainment, providing a depth and breadth of coverage that is unmatched. Getty Images also maintains one of the largest and best privately-owned photographic archives in the world, with over 150 million images across geographies, periods, and verticals.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distribute content and services offerings through three primary product lines: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Creative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Creative is comprised of royalty-free (“RF”) photos, illustrations, vectors, videos, and generative AI-services that are released for commercial use and cover a wide variety of commercial, conceptual, and contemporary subjects, including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lifestyle, business, science, health, wellness, beauty, sports, transportation and travel. This content is available for immediate use by a wide range of customers with depth, breadth, and quality, allowing our customers to produce impactful websites, digital media, social media, marketing campaigns, corporate collateral, textbooks, movies, television, and online video content relevant to their target geographies and audiences. We primarily source Creative content from a broad network of professional, semi-professional, and amateur creators, many exclusive to Getty Images. We have a global creative insights team dedicated to providing briefing and art direction to our exclusive contributor community. Creative represents 57.3% and 61.3% of our revenue, of which 59.2% and 55.2% is generated through our annual subscription products for the six months ended June 30, 2025, and 2024, respectively. Annual Subscription products include products and subscriptions for 12 months or longer, Unsplash API, and Custom Content.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Editorial</w:t>
      </w:r>
    </w:p>
    <w:p>
      <w:pPr>
        <w:spacing w:after="0" w:line="24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7"/>
          <w:szCs w:val="17"/>
          <w:color w:val="auto"/>
        </w:rPr>
        <w:t>Editorial is comprised of photos and videos covering the world of entertainment, sports, and news. We combine contemporary coverage of events around the globe with one of the largest privately held archives globally, with access to images from the beginning of photography. We invest in a dedicated editorial team that includes over 115 staff photographers and videographers to generate our own coverage in addition to coverage from our network of content partners. Editorial represents 37.2% and 36.1% of our revenue, of which 54.7% and 52.6% is generated through our annual subscription products for the six months ended June 30, 2025, and 2024, respectively. Annual Subscription products include subscriptions with a duration of 12 months or longer.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represents 5.4% and 2.6% of our revenue for the six months ended June 30, 2025 and 2024, respectively. This includes data access and/or licensing, music licensing, digital asset management, distribution services and print sales.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service a full range of customers through our industry-leading brands and websites: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Getty Images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Gettyimages.com offers premium creative content and editorial coverage, including video, with exclusive content, and customizable rights and protections. This site primarily serves more prominent enterprise agency, media, and corporate customers with global customer support from our sales and service teams. Customers can purchase on an ALC basis or through our content subscriptions, including our “Premium Access” subscription, where we uniquely offer frictionless access across all of the Getty Images and iStock content in one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iStock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iStock.com is our budget-conscious e-commerce offering providing our customers access to creative stills and video, including exclusive content. This site primarily serves small and medium-sized businesses, including the growing freelance market. Customers can purchase on an ALC basis or through a range of monthly and annual subscription options with access to an extensive amount of unique and exclusive content.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Unsplash</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Unsplash.com is a platform offering free stock photo downloads and paid subscriptions targeted to the high-growth prosumer and semi-professional creator segments. The Unsplash website reaches a significant and geographically diverse audience with more than </w:t>
      </w:r>
      <w:r>
        <w:rPr>
          <w:rFonts w:ascii="Times New Roman" w:cs="Times New Roman" w:eastAsia="Times New Roman" w:hAnsi="Times New Roman"/>
          <w:sz w:val="18"/>
          <w:szCs w:val="18"/>
          <w:color w:val="000000"/>
        </w:rPr>
        <w:t>85 million</w:t>
      </w:r>
      <w:r>
        <w:rPr>
          <w:rFonts w:ascii="Times New Roman" w:cs="Times New Roman" w:eastAsia="Times New Roman" w:hAnsi="Times New Roman"/>
          <w:sz w:val="18"/>
          <w:szCs w:val="18"/>
          <w:color w:val="231F20"/>
        </w:rPr>
        <w:t xml:space="preserve"> image downloads every month.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31F20"/>
        </w:rPr>
        <w:t>In addition to our websites, customers and partners can access and integrate our content, metadata and search capabilities via our APIs and through a range of mobile apps and plugins.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We are a critical intermediary between content suppliers and a broad set of customers. We compete against a broad range of stock licensing marketplaces, editorial news agencies, creative agencies, production companies, staff and freelance photographers and videographers, photo and video archives, freelance marketplaces and amateur content creators, creative tools and services and free sources. Getty Images’ unique offering and approach offers a strong value proposition to our customers and content contributors.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customers:</w:t>
      </w:r>
    </w:p>
    <w:p>
      <w:pPr>
        <w:spacing w:after="0" w:line="27" w:lineRule="exact"/>
        <w:rPr>
          <w:sz w:val="20"/>
          <w:szCs w:val="20"/>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comprehensive suite of high quality, authentic content, purchase and licensing options and services to meet the needs of our customers, regardless of project requirements, needs or budgets.</w:t>
      </w:r>
    </w:p>
    <w:p>
      <w:pPr>
        <w:ind w:left="660" w:hanging="328"/>
        <w:spacing w:after="0" w:line="24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sourcing and production, rights oversight, websites and content distribution are all supported by a unique, scalable cloud-based unified platform with powerful artificial intelligence/machine learning and data addressing all customers at scale.</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have access to Generative AI by Getty Images and iStock which is designed to be a commercially-safe and responsible solution designed to help embrace AI, elevate creativity, and ideate or iterate on concepts and compositions.</w:t>
      </w:r>
    </w:p>
    <w:p>
      <w:pPr>
        <w:spacing w:after="0" w:line="1"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can avoid the costly investment and environmental impact of producing content on their own. This can include costs incurred from staffing, travel and access, model and location, hardware and production, and editing.</w:t>
      </w:r>
    </w:p>
    <w:p>
      <w:pPr>
        <w:spacing w:after="0" w:line="1"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do not have to wait for content to be produced and distributed and can avoid the difficulties and pitfalls of searching across the internet to locate and negotiate for rights to license or use specific content. Our best-in-class, scaled infrastructure offers customers a one-stop shop for instant content access and maneuverability.</w:t>
      </w:r>
    </w:p>
    <w:p>
      <w:pPr>
        <w:ind w:left="660" w:right="20" w:hanging="328"/>
        <w:spacing w:after="0" w:line="24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licensing from Getty Images and iStock receive trusted copyright claim protections, model and property releases and the ability to secure the necessary clearances for their intended use of the content.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content contributors:</w:t>
      </w:r>
    </w:p>
    <w:p>
      <w:pPr>
        <w:spacing w:after="0" w:line="27" w:lineRule="exact"/>
        <w:rPr>
          <w:sz w:val="20"/>
          <w:szCs w:val="20"/>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marketplace that reaches almost every country in the world, across all customer categories and sizes and generated annual royalties of nearly $220 million for the trailing twelve months ending June 30, 2025.</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dedicated and experienced creative insights team focused on understanding changes in customer demand, the visual landscape, the authentic portrayal of communities and cultures, and the evolution of core creative concepts. We work closely with leading organizations to augment our proprietary research and understanding of communities and cultures to provide content with authentic depiction. We convey this research to our exclusive contributors via actionable insights allowing them to invest in and create content that accurately caters to changing consumer demand and up to date market trends.</w:t>
      </w:r>
    </w:p>
    <w:p>
      <w:pPr>
        <w:spacing w:after="0" w:line="1"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only do we provide exclusive contributors with scaled access to end markets and proprietary information, but we also provide premium royalty rates. This allows our exclusive contributors and partners to confidently invest more into their productions with the potential to generate higher returns.</w:t>
      </w:r>
    </w:p>
    <w:p>
      <w:pPr>
        <w:ind w:left="660" w:hanging="328"/>
        <w:spacing w:after="0" w:line="23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Getty Images allows contributors to focus on content creation and avoid time and financial investment in the marketing, sales, distribution and management of their content.</w:t>
      </w:r>
    </w:p>
    <w:p>
      <w:pPr>
        <w:spacing w:after="0" w:line="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Generative AI by Getty Images and iStock products compensates our world-class content creators for the use of their work in our AI models, allowing them to continue to create more high-quality pre-shot imagery.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broader implications of the macroeconomic environment, including uncertainty around recent international armed conflicts in the Ukraine and the Middle East, geopolitical tensions, lingering supply chain shortages, tariffs, inflationary and interest rate pressures, and other related global economic conditions, remain unknown. A deterioration in macroeconomic conditions could continue to increase the risk of lower consumer spending, foreign currency exchange fluctuations, or other business interruptions, which may adversely impact our business and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187"/>
        <w:spacing w:after="0" w:line="223" w:lineRule="exact"/>
        <w:rPr>
          <w:sz w:val="20"/>
          <w:szCs w:val="20"/>
          <w:color w:val="auto"/>
        </w:rPr>
      </w:pPr>
      <w:r>
        <w:rPr>
          <w:rFonts w:ascii="Times New Roman" w:cs="Times New Roman" w:eastAsia="Times New Roman" w:hAnsi="Times New Roman"/>
          <w:sz w:val="18"/>
          <w:szCs w:val="18"/>
          <w:color w:val="auto"/>
        </w:rPr>
        <w:t>We generate revenue by licensing content to customers through multiple license models and purchase options, as well as by providing related services to our customers. The key image licensing model in the pre-shot market is RF. Content licensed on a RF basis is subject to a standard set of terms, allowing the customer to use the image for an unlimited duration and without limitation on the use or application. Within our video offering, we also offer a licensing model known as Rights-Ready. The Rights-Ready model offers a limited selection of broader usage categories, thus simplifying the purchase process. In September 2023 and January 2024, we launched Generative AI by Getty Images and Generative AI by iStock, respectively. They are generative AI text to image and image to image tools that were trained on Getty Images’ world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creative content and designed for commercial use. Customers that download visuals through the tool will receive the standard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licensing imagery and video, we generate revenue from data access and/or licensing, custom content solutions, photo and video assignments, music content in some of our subscriptions, print sales and licensing our digital asset management systems to help customers manage their owned and licensed digital content.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229"/>
        <w:spacing w:after="0" w:line="266" w:lineRule="auto"/>
        <w:rPr>
          <w:sz w:val="20"/>
          <w:szCs w:val="20"/>
          <w:color w:val="auto"/>
        </w:rPr>
      </w:pPr>
      <w:r>
        <w:rPr>
          <w:rFonts w:ascii="Times New Roman" w:cs="Times New Roman" w:eastAsia="Times New Roman" w:hAnsi="Times New Roman"/>
          <w:sz w:val="18"/>
          <w:szCs w:val="18"/>
          <w:color w:val="auto"/>
        </w:rPr>
        <w:t>A significant portion of the business has transitioned to a subscription model with strong revenue retention characteristics. Annual subscriptions now comprise approximately 55% of total revenue for the six months ended June 30, 2025, and we continue to focus on growing subscription revenue.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References to “reported revenue” in this discussion and analysis are to our revenue as reported in our historical condensed consolidated financial statements for the relevant periods and reflect the effect of changes in foreign currency exchange rates. References to “currency neutral” (“</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Neutral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CN</w:t>
      </w:r>
      <w:r>
        <w:rPr>
          <w:rFonts w:ascii="Times New Roman" w:cs="Times New Roman" w:eastAsia="Times New Roman" w:hAnsi="Times New Roman"/>
          <w:sz w:val="18"/>
          <w:szCs w:val="18"/>
          <w:color w:val="auto"/>
        </w:rPr>
        <w:t>”) revenue growth or decline (expressed as a percentage) in this section refer to our revenue growth or decline (expressed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the effect of changes in foreign currency exchange rates.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additional information regarding Currency Neutral revenue growth or decline (expressed as a percentage).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jc w:val="both"/>
        <w:ind w:firstLine="205"/>
        <w:spacing w:after="0" w:line="253" w:lineRule="auto"/>
        <w:rPr>
          <w:sz w:val="20"/>
          <w:szCs w:val="20"/>
          <w:color w:val="auto"/>
        </w:rPr>
      </w:pPr>
      <w:r>
        <w:rPr>
          <w:rFonts w:ascii="Times New Roman" w:cs="Times New Roman" w:eastAsia="Times New Roman" w:hAnsi="Times New Roman"/>
          <w:sz w:val="18"/>
          <w:szCs w:val="18"/>
          <w:color w:val="auto"/>
        </w:rPr>
        <w:t>The ownership rights to the majority of the content we license are retained by the owners, and licensing rights are provided to us by a large network of content contributors and content partners. When we license content entrusted to us by content suppliers, we pay royalties to them at varying rates depending on the license model and the use of that content that our customers select. Suppliers who choose to work with us under contract typically receive royalties of 20% to 50% of the total license fee we charge customers, depending on the basis on which their content is licensed by our customers. Contributors are compensated for any inclusion of their content in AI data training sets and may share in the revenue generated by AI tools and services trained with their content. We also own the copyright to certain content in our collections (“wholly-owned content”), including content produced by our staff photographers for our editorial product, for which we do not pay any third-party royalties. Cost of revenue includes certain costs of our assignment photo shoots, but excludes amortization associated with creating or buying content. Cost of revenue consists primarily of royalties owed to content contributors, comprised of photographers, filmmakers, third-party companies that license their collection of content through us (“Content Partners”) and third-party music content provider.</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Going forward, we expect the cost of revenue to trend higher in absolute dollars as we continue growing our revenue. We expect our cost of revenue as a percentage of revenue to vary modestly based on changes in revenue mix by product, as royalty rates vary depending on license model and use of content.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24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primarily consist of staff costs, marketing expenses, occupancy costs, professional fees and other general operating charges.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our selling, general and administrative expenses to increase in absolute dollars but remain relatively constant as a percentage of revenue in the near term. Absolute dollar spending will increase as we continue to expand our operations and invest in our growth. Lastly, we expect our marketing to stay relatively constant as a percentage of revenue. However, the Company will continue to evaluate opportunities to incrementally invest in marketing as may be appropriate.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8"/>
          <w:szCs w:val="18"/>
          <w:color w:val="auto"/>
        </w:rPr>
        <w:t>Depreciation expense consists of internally developed software, content and equipment depreciation. We record property and equipment at cost and reflect Balance Sheet balances net of accumulated depreciation. We record depreciation expense on a straight-line basis. We depreciate leasehold improvements over the shorter of the respective lives of the leases or the useful lives of the improvements. We expect depreciation expense to remain stable as we continue to innovate and invest in the design, user experience and performance of our websites.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Amortization expense consists of the amortization of intangible assets related to acquired customer relationships, trademarks and other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intangible assets have been fully amortized. We expect amortization expense to be insignificant in the coming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results of operations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shift in the product mix of our revenue may affect our overall cost of revenue as a percentage of revenue. Our revenues and profitability are also subject to fluctuations in foreign exchange rates. The weakening or strengthening of our reporting currency, the U.S. Dollar, during any given period as compared to currencies that we collect revenues in, most notably, the Euro and British pound, impacts our reported revenues.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financial condition and results of operation will also be dependent upon various factors that generally affect the digital content industry, including the general trends affecting the media, marketing and advertising customer bases that we target, protection of intellectual property, and new and expanding technology such as generative AI technologies. In addition, our financial condition and results of operation will continue to be affected by factors that affect internet commerce companies and by general deterioration in macroeconomic factors that could continue to increase the risks of lower consumer spending, other business interruptions, the global and economic uncertainty caused by, among other things, any lingering effects of the Hollywood actors and writers strike, the military conflicts between Russia and Ukraine and in the Middle East, tariffs or trade restrictions imposed by the U.S. and other countries, changes in political climate, and high interest rates, currency fluctuations, high inflation and labor shortages.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Currency Fluctuations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for subsidiaries with functional currencies other than the U.S. dollar are recorded in foreign currencies and translated at the exchange rate on the Balance Sheet date. Revenue and expenses are translated at average rates of exchange prevailing during the period. Translation adjustments resulting from this process are charged or credited to “</w:t>
      </w:r>
      <w:r>
        <w:rPr>
          <w:rFonts w:ascii="Times New Roman" w:cs="Times New Roman" w:eastAsia="Times New Roman" w:hAnsi="Times New Roman"/>
          <w:sz w:val="18"/>
          <w:szCs w:val="18"/>
          <w:i w:val="1"/>
          <w:iCs w:val="1"/>
          <w:color w:val="auto"/>
        </w:rPr>
        <w:t>Other comprehensive income (loss)</w:t>
      </w:r>
      <w:r>
        <w:rPr>
          <w:rFonts w:ascii="Times New Roman" w:cs="Times New Roman" w:eastAsia="Times New Roman" w:hAnsi="Times New Roman"/>
          <w:sz w:val="18"/>
          <w:szCs w:val="18"/>
          <w:color w:val="auto"/>
        </w:rPr>
        <w:t>”, as a separate component of stockholder’s equity. The Company recognized net foreign currency translation adjustment gains of $68.1 million during the six months ended June 30, 2025 and net foreign currency translation adjustment losses of $18.4 million during the six months ended June 30, 2024.</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gains and losses arising from transactions denominated in a currency other than the functional currency of the entity involved are included in “</w:t>
      </w:r>
      <w:r>
        <w:rPr>
          <w:rFonts w:ascii="Times New Roman" w:cs="Times New Roman" w:eastAsia="Times New Roman" w:hAnsi="Times New Roman"/>
          <w:sz w:val="18"/>
          <w:szCs w:val="18"/>
          <w:i w:val="1"/>
          <w:iCs w:val="1"/>
          <w:color w:val="auto"/>
        </w:rPr>
        <w:t>Foreign exchange (loss) gain – net</w:t>
      </w:r>
      <w:r>
        <w:rPr>
          <w:rFonts w:ascii="Times New Roman" w:cs="Times New Roman" w:eastAsia="Times New Roman" w:hAnsi="Times New Roman"/>
          <w:sz w:val="18"/>
          <w:szCs w:val="18"/>
          <w:color w:val="auto"/>
        </w:rPr>
        <w:t>” in the Condensed Consolidated Statements of Operations. For the six months ended June 30, 2025, the Company recognized net foreign currency transaction losses of $79.8 million. For the six months ended June 30, 2024, the Company recognized net foreign currency transaction gains of $18.9 million.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2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234,882</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229,140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5,742</w:t>
            </w: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458,959</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451,418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46"/>
        </w:trPr>
        <w:tc>
          <w:tcPr>
            <w:tcW w:w="32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Cost of revenue (exclusive of depreciation and</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2,532</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105,066</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101,232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3,834</w:t>
            </w:r>
          </w:p>
        </w:tc>
        <w:tc>
          <w:tcPr>
            <w:tcW w:w="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203,334</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202,176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litigation</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operating expenses – net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10,232</w:t>
            </w: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3654.3 %</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28,914</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25,506</w:t>
            </w: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748.4 %</w:t>
            </w:r>
          </w:p>
        </w:tc>
        <w:tc>
          <w:tcPr>
            <w:tcW w:w="0" w:type="dxa"/>
            <w:vAlign w:val="bottom"/>
          </w:tcPr>
          <w:p>
            <w:pPr>
              <w:spacing w:after="0"/>
              <w:rPr>
                <w:sz w:val="1"/>
                <w:szCs w:val="1"/>
                <w:color w:val="auto"/>
              </w:rPr>
            </w:pPr>
          </w:p>
        </w:tc>
      </w:tr>
      <w:tr>
        <w:trPr>
          <w:trHeight w:val="18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199,322</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182,682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16,640</w:t>
            </w: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396,057</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363,926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32,131</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35,560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46,458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(10,898)</w:t>
            </w:r>
          </w:p>
        </w:tc>
        <w:tc>
          <w:tcPr>
            <w:tcW w:w="8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62,902</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87,492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(24,590)</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on fair value adjustment for swaps – net</w:t>
            </w: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(loss) gain – net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(57,210)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(98,710)</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NM</w:t>
            </w: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non-operating (expense) income – net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23"/>
        </w:trPr>
        <w:tc>
          <w:tcPr>
            <w:tcW w:w="32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other expense – net</w:t>
            </w:r>
          </w:p>
        </w:tc>
        <w:tc>
          <w:tcPr>
            <w:tcW w:w="2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(93,262)</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(30,271)</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(62,991)</w:t>
            </w:r>
          </w:p>
        </w:tc>
        <w:tc>
          <w:tcPr>
            <w:tcW w:w="8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208.1 %</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(158,583)</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(46,517)</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(112,066)</w:t>
            </w: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240.9 %</w:t>
            </w:r>
          </w:p>
        </w:tc>
        <w:tc>
          <w:tcPr>
            <w:tcW w:w="0" w:type="dxa"/>
            <w:vAlign w:val="bottom"/>
          </w:tcPr>
          <w:p>
            <w:pPr>
              <w:spacing w:after="0"/>
              <w:rPr>
                <w:sz w:val="1"/>
                <w:szCs w:val="1"/>
                <w:color w:val="auto"/>
              </w:rPr>
            </w:pPr>
          </w:p>
        </w:tc>
      </w:tr>
      <w:tr>
        <w:trPr>
          <w:trHeight w:val="20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(73,889)</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(136,656)</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0" w:type="dxa"/>
            <w:vAlign w:val="bottom"/>
          </w:tcPr>
          <w:p>
            <w:pPr>
              <w:spacing w:after="0"/>
              <w:rPr>
                <w:sz w:val="1"/>
                <w:szCs w:val="1"/>
                <w:color w:val="auto"/>
              </w:rPr>
            </w:pPr>
          </w:p>
        </w:tc>
      </w:tr>
      <w:tr>
        <w:trPr>
          <w:trHeight w:val="23"/>
        </w:trPr>
        <w:tc>
          <w:tcPr>
            <w:tcW w:w="32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23,343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35,841</w:t>
            </w:r>
          </w:p>
        </w:tc>
        <w:tc>
          <w:tcPr>
            <w:tcW w:w="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(41,250)</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(23,699)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(17,551)</w:t>
            </w: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74.1 %</w:t>
            </w:r>
          </w:p>
        </w:tc>
        <w:tc>
          <w:tcPr>
            <w:tcW w:w="0" w:type="dxa"/>
            <w:vAlign w:val="bottom"/>
          </w:tcPr>
          <w:p>
            <w:pPr>
              <w:spacing w:after="0"/>
              <w:rPr>
                <w:sz w:val="1"/>
                <w:szCs w:val="1"/>
                <w:color w:val="auto"/>
              </w:rPr>
            </w:pPr>
          </w:p>
        </w:tc>
      </w:tr>
      <w:tr>
        <w:trPr>
          <w:trHeight w:val="20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(34,359)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(38,048)</w:t>
            </w:r>
          </w:p>
        </w:tc>
        <w:tc>
          <w:tcPr>
            <w:tcW w:w="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(136,931)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17,276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(154,207)</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(892.6)%</w:t>
            </w:r>
          </w:p>
        </w:tc>
        <w:tc>
          <w:tcPr>
            <w:tcW w:w="0" w:type="dxa"/>
            <w:vAlign w:val="bottom"/>
          </w:tcPr>
          <w:p>
            <w:pPr>
              <w:spacing w:after="0"/>
              <w:rPr>
                <w:sz w:val="1"/>
                <w:szCs w:val="1"/>
                <w:color w:val="auto"/>
              </w:rPr>
            </w:pPr>
          </w:p>
        </w:tc>
      </w:tr>
      <w:tr>
        <w:trPr>
          <w:trHeight w:val="25"/>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product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120" w:type="dxa"/>
            <w:vAlign w:val="bottom"/>
          </w:tcPr>
          <w:p>
            <w:pPr>
              <w:spacing w:after="0"/>
              <w:rPr>
                <w:sz w:val="16"/>
                <w:szCs w:val="16"/>
                <w:color w:val="auto"/>
              </w:rPr>
            </w:pPr>
          </w:p>
        </w:tc>
      </w:tr>
      <w:tr>
        <w:trPr>
          <w:trHeight w:val="23"/>
        </w:trPr>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3"/>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14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CN % change</w:t>
            </w:r>
          </w:p>
        </w:tc>
      </w:tr>
      <w:tr>
        <w:trPr>
          <w:trHeight w:val="23"/>
        </w:trPr>
        <w:tc>
          <w:tcPr>
            <w:tcW w:w="26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2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Creative</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130,824</w:t>
            </w:r>
          </w:p>
        </w:tc>
        <w:tc>
          <w:tcPr>
            <w:tcW w:w="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137,897</w:t>
            </w:r>
          </w:p>
        </w:tc>
        <w:tc>
          <w:tcPr>
            <w:tcW w:w="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center"/>
              <w:ind w:left="174"/>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Editorial</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8"/>
              </w:rPr>
              <w:t>4,723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57"/>
        </w:trPr>
        <w:tc>
          <w:tcPr>
            <w:tcW w:w="2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80" w:type="dxa"/>
            <w:vAlign w:val="bottom"/>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80" w:type="dxa"/>
            <w:vAlign w:val="bottom"/>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center"/>
              <w:ind w:left="194"/>
              <w:spacing w:after="0"/>
              <w:rPr>
                <w:sz w:val="20"/>
                <w:szCs w:val="20"/>
                <w:color w:val="auto"/>
              </w:rPr>
            </w:pPr>
            <w:r>
              <w:rPr>
                <w:rFonts w:ascii="Times New Roman" w:cs="Times New Roman" w:eastAsia="Times New Roman" w:hAnsi="Times New Roman"/>
                <w:sz w:val="18"/>
                <w:szCs w:val="18"/>
                <w:color w:val="auto"/>
                <w:w w:val="98"/>
              </w:rPr>
              <w:t>8,092</w:t>
            </w:r>
          </w:p>
        </w:tc>
        <w:tc>
          <w:tcPr>
            <w:tcW w:w="100" w:type="dxa"/>
            <w:vAlign w:val="bottom"/>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106.1 %</w:t>
            </w:r>
          </w:p>
        </w:tc>
        <w:tc>
          <w:tcPr>
            <w:tcW w:w="8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105.5 %</w:t>
            </w:r>
          </w:p>
        </w:tc>
      </w:tr>
      <w:tr>
        <w:trPr>
          <w:trHeight w:val="25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234,882</w:t>
            </w:r>
          </w:p>
        </w:tc>
        <w:tc>
          <w:tcPr>
            <w:tcW w:w="80" w:type="dxa"/>
            <w:vAlign w:val="bottom"/>
          </w:tcPr>
          <w:p>
            <w:pPr>
              <w:spacing w:after="0"/>
              <w:rPr>
                <w:sz w:val="22"/>
                <w:szCs w:val="22"/>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229,140</w:t>
            </w:r>
          </w:p>
        </w:tc>
        <w:tc>
          <w:tcPr>
            <w:tcW w:w="80" w:type="dxa"/>
            <w:vAlign w:val="bottom"/>
          </w:tcPr>
          <w:p>
            <w:pPr>
              <w:spacing w:after="0"/>
              <w:rPr>
                <w:sz w:val="22"/>
                <w:szCs w:val="22"/>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8"/>
              </w:rPr>
              <w:t>5,742</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240"/>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2025, total revenue on a reported basis was $234.9 million as compared to $229.1 million for the three months ended June 30, 2024. On a reported basis, revenue increased by 2.5% (1.8% CN) for the three months ended June 30, 2025.</w:t>
      </w:r>
    </w:p>
    <w:p>
      <w:pPr>
        <w:jc w:val="both"/>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Creative </w:t>
      </w:r>
      <w:r>
        <w:rPr>
          <w:rFonts w:ascii="Times New Roman" w:cs="Times New Roman" w:eastAsia="Times New Roman" w:hAnsi="Times New Roman"/>
          <w:sz w:val="18"/>
          <w:szCs w:val="18"/>
          <w:color w:val="auto"/>
        </w:rPr>
        <w:t>revenue decreased on a reported basis 5.1% (5.7% CN) to $130.8 million for the three months ended June 30, 2025, compared to $137.9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June 30, 2024. The decrease of $7.1 million for the three months ended June 30, 2025 was driven by declines in our ALC credit sales and ultra packs, ALC Premium RF stills and video and iStock monthly subscriptions (decreased $6.1 million in the aggregate). The declines were largely driven by reduced revenue from Agency customers, which are accounted for entirely within Creative revenue and purchase mainly on an ALC basis. Declines were also seen from our Unsplash assignments and advertising business largely driven by a one-time project in the prior year period (decreased $2.0 million). Additionally, we saw offsetting increases in Creative subscriptions (increased $1.1 million).</w:t>
      </w:r>
    </w:p>
    <w:p>
      <w:pPr>
        <w:spacing w:after="0" w:line="2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Editorial </w:t>
      </w:r>
      <w:r>
        <w:rPr>
          <w:rFonts w:ascii="Times New Roman" w:cs="Times New Roman" w:eastAsia="Times New Roman" w:hAnsi="Times New Roman"/>
          <w:sz w:val="18"/>
          <w:szCs w:val="18"/>
          <w:color w:val="auto"/>
        </w:rPr>
        <w:t>revenue increased on a reported basis by $4.7 million, or 5.6%, to $88.3 million, and 4.6% on a currency-neutral basis. The increase was 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Editorial subscriptions (increased $3.5 million) and assignments (increased $2.2 million), offset by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Editorial ALC (decreased $1.0 million). Overall, these product net increases were driven by growth in Sport and News, offset by a slight decrease in Entertainment.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revenue increased on a reported basis by $8.1 million, or 106.1%, to $15.7 million for the three months ended June 30, 2025, compared to $7.6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June 30, 2024. On a currency-neutral basis, other revenue increased 105.5% compared to the same period in 2024. The increase was primarily driven by new data access and licensing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our revenue recognition can be influenced by several factors, including the nature of the contract with the customer, and the Company’s estimates regarding unused content and customer download patterns. These factors can lead to variability in the timing and amount of revenue recognized in a given period. The weakening or strengthening of our reporting currency, the U.S. dollar, during any given period compared to currencies we collect revenues in, most notably, the Euro and British pound, impacts our reported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June 30, 2025 was $65.6 million compared to $63.1 million in the same prior year period. As a percentage of total revenue, cost of revenue was 27.9% and 27.5% for the three months ended June 30, 2025 and June 30, 2024, respectively. Any changes in cost of revenue as a percentage of revenue compared to a prior period is due primarily to revenue mix by product. Generally, cost of revenue rates vary modestly period over period based on changes in revenue mix by product, as royalty rates vary depending on the license model and use of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Reported SG&amp;A increased by $3.8 million or 3.8% (increased 3.2% CN) for the three months ended June 30, 2025 as compared to the three months ended June 30, 2024. SG&amp;A fluctuations from the prior period include the following:</w:t>
      </w:r>
    </w:p>
    <w:p>
      <w:pPr>
        <w:spacing w:after="0" w:line="162"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$6.5 million related to professional fees for the three months ended June 30, 2025, primarily related to legal fees incurred for our ongoing AI litigation cases and higher audit related fees due to our public company requirements.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$2.5 million related to staff costs for the three months ended June 30, 2025. The decrease was driven by lower accrued bonus expense (decreased $1.0 million), lower healthcare costs (decreased $0.9 million), lower severance expense (decreased $0.8 million), and lower commission expense (decreased $0.7 million), which were partially offset by increases in salary and other wage-related expenses (increased $0.9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$15.5 million for the three months ended June 30, 2025, an increase of $0.8 million or 5.8% compared to $14.7 million for the three months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amortization expense was $0.6 million, which was flat compared to $0.6 million for the three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litigation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the Company recognized loss on litigation of $2.0 million compared to $2.8 million for the three months ended June 30, 2024. The loss on litigation consists of the interest on the summary judgment, legal fees, and amortization of fees related to appeal bond. The Company will continue to see these expenses as we navigate through the appeal of the judgment in the actions captioned by Alta Partners, LLC. V Getty Images Holdings, Inc., Case No. 1:22-cv-08916 and CRCM Institutional Master Fund (BVI) LTD. et al v. Getty Images Holdings, Inc., Case No. 1:23-cv-01074, and incur legal fees related to the additional warrant cases.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 net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operating expenses - net was $10.5 million for the three months ended June 30, 2025, compared to $0.3 million in the three months ended June 30, 2024. This increase is primarily driven by costs incurred related to our proposed merger with</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Shutterstock. We expect other operating expenses to fluctuate from period to period as this line item is heavily influenced by non-recurring events such as mergers and acquisitions, claims, settlements, and gains/losses on asset disposals.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43" w:lineRule="exact"/>
        <w:rPr>
          <w:sz w:val="20"/>
          <w:szCs w:val="20"/>
          <w:color w:val="auto"/>
        </w:rPr>
      </w:pPr>
    </w:p>
    <w:p>
      <w:pPr>
        <w:jc w:val="both"/>
        <w:ind w:firstLine="181"/>
        <w:spacing w:after="0" w:line="245" w:lineRule="auto"/>
        <w:rPr>
          <w:sz w:val="20"/>
          <w:szCs w:val="20"/>
          <w:color w:val="auto"/>
        </w:rPr>
      </w:pPr>
      <w:r>
        <w:rPr>
          <w:rFonts w:ascii="Times New Roman" w:cs="Times New Roman" w:eastAsia="Times New Roman" w:hAnsi="Times New Roman"/>
          <w:sz w:val="18"/>
          <w:szCs w:val="18"/>
          <w:color w:val="auto"/>
        </w:rPr>
        <w:t>We recognized interest expense of $36.6 million and $33.9 million for the three months period ended June 30, 2025 and June 30, 2024, respectively. Our interest expense primarily consists of interest charges on our New Term Loans, Senior Secured Notes, Senior Unsecured Notes and our revolving credit facility which remains undrawn, as well as the amortization of original issue discount and debt issuance costs. See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for additional discussions on our debt.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 –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foreign exchange loss, net of $54.8 million for the three months ended June 30, 2025, compared to net gains of $2.4 million for the three months ended June 30, 2024. These changes are primarily driven by fluctuations in the EUR related to our New EUR Term Loans.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continued volatility in foreign exchange gains and losses each quarter based on fluctuations in exchange rates impacting our foreign currency exposures.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 income – net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recognized $1.9 million of other non-operating expense, net for the three months ended June 30, 2025 compared to $1.2 million of other non-</w:t>
      </w:r>
    </w:p>
    <w:p>
      <w:pPr>
        <w:spacing w:after="0" w:line="3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operating income for the three months June 30, 2024. The change of $3.1 million was primarily due to costs related to the Permitted Debt Exchange of $2.8 million and lower interest income, driven by a decrease in U.S. interest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 is computed using an estimated annual effective tax rate, adjusted for discrete items. The estimated annual effective tax rate is subject to significant volatility due to several factors, including changes in the forecasted pre-tax income (loss) and income tax (expense) benefit, realizability of deferred tax assets, intercompany transactions, foreign currency gain (loss), mergers and acquisitions, jurisdictional footprints, and changes in the Company’s business operations. In addition, the effective tax rate’s volatility depends on the amount of pre-tax income (loss). For example, the impact of non-taxable, non-deductible, and discrete items on the effective tax rate is greater when the pre-tax income (loss) is smaller.</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recorded an income tax benefit of $23.3 million and an income tax expense of $12.5 million for the three months ended June 30, 2025 and June 30, 2024, respectively. For 2025, the Company’s effective tax rate is expected to be a large negative percentage due to the Company’s pre-tax loss and income tax expense items that are not analogous to pre-tax loss, such as foreign withholding taxes, non-deductible interest expense, and change in valuation allowance. The effective tax rate may vary significantly throughout the year depending on the changes in the pre-tax income (loss).</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product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080" w:type="dxa"/>
            <w:vAlign w:val="bottom"/>
          </w:tcPr>
          <w:p>
            <w:pPr>
              <w:spacing w:after="0"/>
              <w:rPr>
                <w:sz w:val="16"/>
                <w:szCs w:val="16"/>
                <w:color w:val="auto"/>
              </w:rPr>
            </w:pPr>
          </w:p>
        </w:tc>
      </w:tr>
      <w:tr>
        <w:trPr>
          <w:trHeight w:val="23"/>
        </w:trPr>
        <w:tc>
          <w:tcPr>
            <w:tcW w:w="2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CN % change</w:t>
            </w:r>
          </w:p>
        </w:tc>
      </w:tr>
      <w:tr>
        <w:trPr>
          <w:trHeight w:val="23"/>
        </w:trPr>
        <w:tc>
          <w:tcPr>
            <w:tcW w:w="24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25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Creative</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262,998</w:t>
            </w:r>
          </w:p>
        </w:tc>
        <w:tc>
          <w:tcPr>
            <w:tcW w:w="1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57.3 %</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276,739</w:t>
            </w:r>
          </w:p>
        </w:tc>
        <w:tc>
          <w:tcPr>
            <w:tcW w:w="1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61.3 %</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(13,741)</w:t>
            </w:r>
          </w:p>
        </w:tc>
        <w:tc>
          <w:tcPr>
            <w:tcW w:w="1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2"/>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Editorial</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170,959</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163,048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24"/>
        </w:trPr>
        <w:tc>
          <w:tcPr>
            <w:tcW w:w="2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6"/>
        </w:trPr>
        <w:tc>
          <w:tcPr>
            <w:tcW w:w="25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25,002</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11,631</w:t>
            </w: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13,371</w:t>
            </w:r>
          </w:p>
        </w:tc>
        <w:tc>
          <w:tcPr>
            <w:tcW w:w="10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115.0 %</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114.6 %</w:t>
            </w: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458,959</w:t>
            </w:r>
          </w:p>
        </w:tc>
        <w:tc>
          <w:tcPr>
            <w:tcW w:w="100" w:type="dxa"/>
            <w:vAlign w:val="bottom"/>
          </w:tcPr>
          <w:p>
            <w:pPr>
              <w:spacing w:after="0"/>
              <w:rPr>
                <w:sz w:val="18"/>
                <w:szCs w:val="18"/>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451,418</w:t>
            </w:r>
          </w:p>
        </w:tc>
        <w:tc>
          <w:tcPr>
            <w:tcW w:w="10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100.0 %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21"/>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225" w:lineRule="exact"/>
        <w:rPr>
          <w:sz w:val="20"/>
          <w:szCs w:val="20"/>
          <w:color w:val="auto"/>
        </w:rPr>
      </w:pPr>
    </w:p>
    <w:p>
      <w:pPr>
        <w:ind w:right="20" w:firstLine="21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total revenue on a reported basis was $459.0 million as compared to $451.4 million for the six months ended June 30, 2024. On a reported basis, revenue increased by 1.7% (2.1% CN) for the six months ended June 30, 2025.</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Creative </w:t>
      </w:r>
      <w:r>
        <w:rPr>
          <w:rFonts w:ascii="Times New Roman" w:cs="Times New Roman" w:eastAsia="Times New Roman" w:hAnsi="Times New Roman"/>
          <w:sz w:val="18"/>
          <w:szCs w:val="18"/>
          <w:color w:val="auto"/>
        </w:rPr>
        <w:t>revenue decreased on a reported basis 5.0% (4.3% CN) to $263.0 million for the six months ended June 30, 2025, compared to $276.7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six months ended June 30, 2024. The decrease of $13.7 million for the six months ended June 30, 2025 was driven by declines in our ALC credit sales and ultra packs, ALC Premium RF stills and video and iStock monthly subscriptions (decreased $12.8 million in the aggregate). The declines were largely driven by reduced revenue from Agency customers, which are accounted for entirely within Creative revenue and purchase mainly on an ALC basis. Declines were also seen from our Unsplash assignments and advertising business largely driven by a one-time project in the prior year period (decreased $3.8 million). Additionally, we saw offsetting increases in Creative subscriptions (increased $2.8 million).</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Editorial </w:t>
      </w:r>
      <w:r>
        <w:rPr>
          <w:rFonts w:ascii="Times New Roman" w:cs="Times New Roman" w:eastAsia="Times New Roman" w:hAnsi="Times New Roman"/>
          <w:sz w:val="18"/>
          <w:szCs w:val="18"/>
          <w:color w:val="auto"/>
        </w:rPr>
        <w:t>revenue increased on a reported basis by $7.9 million , or 4.9%, to $171.0 million, and 5.1% on a currency-neutral basis. The increase was 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Editorial subscriptions (increased $7.8 million) and assignments (increased $2.1 million), offset by Editorial ALC (decreased $2.0 million). Overall, these product net increases were driven by double-digit growth in Sport and News, offset by a slight decrease in Entertainment.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revenue increased on a reported basis by $13.4 million, or 115.0%, to $25.0 million for the six months ended June 30, 2025, compared to $11.6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six months ended June 30, 2024. On a currency-neutral basis, other revenue increased 114.6% compared to the same period in 2024. The increase was primarily driven by new data access and licensing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our revenue recognition can be influenced by several factors, including the nature of the contract with the customer, and the Company’s estimates regarding unused content and customer download patterns. These factors can lead to variability in the timing and amount of revenue recognized in a given period. The weakening or strengthening of our reporting currency, the U.S. dollar, during any given period compared to currencies we collect revenues in, most notably, the Euro and British pound, impacts our reported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for the six months ended June 30, 2025 was $125.8 million compared to $123.4 million in the same prior year period. As a percentage of total revenue, cost of revenue was 27.4% and 27.3% for the six months ended June 30, 2025 and June 30, 2024, respectively. Any changes in cost of revenue as a percentage of revenue compared to a prior period is due primarily to revenue mix by product. Generally, cost of revenue rates vary modestly period over period based on changes in revenue mix by product, as royalty rates vary depending on the license model and use of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Reported SG&amp;A expense increased by $1.2 million or 0.6% (increased 1.0% CN) for the six months ended June 30, 2025 as compared to the six months ended June 30, 2024. SG&amp;A fluctuations from the prior period include the following:</w:t>
      </w:r>
    </w:p>
    <w:p>
      <w:pPr>
        <w:spacing w:after="0" w:line="162"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$7.9 million related to professional fees for the six months ended June 30, 2025, primarily related to legal fees incurred for our ongoing AI litigation cases and higher audit related fees due to our public company requirements.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$7.0 million related to staff costs for the six months ended June 30, 2025. The decrease was driven by lower equity-based compensation (decreased $4.8 million), lower healthcare costs (decreased $1.5 million), lower commission expense (decreased $0.9 million), lower payroll taxes (decreased $0.9 million), and lower severance expense (decreased $0.7 million), which were partially offset by increases in salary and bonus expense (increased $1.0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$30.5 million for the six months ended June 30, 2025, an increase of $1.4 million or 4.9% compared to $29.0 million for the six months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amortization expense was $1.1 million, which was flat compared to $1.1 million for the six months ended June 30, 2024.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litigation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the Company recognized loss on litigation of $6.4 million compared to $4.8 million for the six months ended June 30, 2024. The loss on litigation consists of the interest on the summary judgment, legal fees, and amortization of fees related to appeal bond. The Company will continue to see these expenses as we navigate through the appeal of the judgment in the actions captioned by Alta Partners, LLC. V Getty Images Holdings, Inc., Case No. 1:22-cv-08916 and CRCM Institutional Master Fund (BVI) LTD. et al v. Getty Images Holdings, Inc., Case No. 1:23-cv-01074, and incur legal fees related to the additional warrant cases.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 net</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Other operating expenses - net was $28.9 million for the six months ended June 30, 2025, compared to $3.4 million for the six months ended June 30, 2024. This increase is primarily driven by costs incurred related to our proposed merger with Shutterstock. We expect other operating expenses to fluctuate from period to period as this line item is heavily influenced by non-recurring events such as mergers and acquisitions, claims, settlements, and gains/losses on asset disposals.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43" w:lineRule="exact"/>
        <w:rPr>
          <w:sz w:val="20"/>
          <w:szCs w:val="20"/>
          <w:color w:val="auto"/>
        </w:rPr>
      </w:pPr>
    </w:p>
    <w:p>
      <w:pPr>
        <w:jc w:val="both"/>
        <w:ind w:firstLine="202"/>
        <w:spacing w:after="0" w:line="245" w:lineRule="auto"/>
        <w:rPr>
          <w:sz w:val="20"/>
          <w:szCs w:val="20"/>
          <w:color w:val="auto"/>
        </w:rPr>
      </w:pPr>
      <w:r>
        <w:rPr>
          <w:rFonts w:ascii="Times New Roman" w:cs="Times New Roman" w:eastAsia="Times New Roman" w:hAnsi="Times New Roman"/>
          <w:sz w:val="18"/>
          <w:szCs w:val="18"/>
          <w:color w:val="auto"/>
        </w:rPr>
        <w:t>We recognized interest expense of $69.2 million and $66.6 million for the six months period ended June 30, 2025 and June 30, 2024, respectively. Our interest expense primarily consists of interest charges on our on our Old Term Loans, New Term Loans, Senior Secured Notes, Senior Unsecured Notes and our revolving credit facility which remains undrawn, as well as the amortization of original issue discount and debt issuance costs on our Old Term Loans and New Term Loans and amortization of deferred debt financing fees. See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for additional discussions on our debt.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fair value adjustment for swaps –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previously held positions in interest rate swaps, which expired in February 2024, and recognized net losses of $1.5 million during the six months ended June 30, 2024. These losses were driven by changes in interest rates relative to the rates in our derivatives. There was no such loss for the six months ended June 30, 2025.</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While we have experienced volatility in the fair value adjustments on our expired derivative instruments, we believe hedging allowed us to reduce our exposure to interest rate and foreign currency risks. We will continue to evaluate opportunities to utilize swaps, forwards, and other instruments to mitigate financial risks associated with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 –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foreign exchange losses, net of $79.8 million for the six months ended June 30, 2025, compared to net gains of $18.9 million for the six months ended June 30, 2024. These changes are primarily driven by fluctuations in the EUR related to our Old EUR Term Loans and New EUR Term Loans.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continued volatility in foreign exchange gains and losses each quarter based on fluctuations in exchange rates impacting our foreign currency exposures.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recognized loss on extinguishment of debt of $5.5 million for the six months ended June 30, 2025 from the extinguishment of our Old Term Loans. See “</w:t>
      </w:r>
      <w:r>
        <w:rPr>
          <w:rFonts w:ascii="Times New Roman" w:cs="Times New Roman" w:eastAsia="Times New Roman" w:hAnsi="Times New Roman"/>
          <w:sz w:val="18"/>
          <w:szCs w:val="18"/>
          <w:i w:val="1"/>
          <w:iCs w:val="1"/>
          <w:color w:val="auto"/>
        </w:rPr>
        <w:t>Note 7 - Debt</w:t>
      </w:r>
      <w:r>
        <w:rPr>
          <w:rFonts w:ascii="Times New Roman" w:cs="Times New Roman" w:eastAsia="Times New Roman" w:hAnsi="Times New Roman"/>
          <w:sz w:val="18"/>
          <w:szCs w:val="18"/>
          <w:color w:val="auto"/>
        </w:rPr>
        <w:t>” for additional discussion on the refinancing of our Old Term Loans.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 income –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$4.0 million of other non-operating expense, net for the six months ended June 30, 2025 compared to $2.7 million of other non-operating income, net for the six months June 30, 2024. The change of $6.7 million was primarily due to costs related to the recent debt refinance, debt exchange and lower interest income, driven by a decrease in U.S. interest rates.</w:t>
      </w:r>
    </w:p>
    <w:p>
      <w:pPr>
        <w:sectPr>
          <w:pgSz w:w="11900" w:h="16838" w:orient="portrait"/>
          <w:cols w:equalWidth="0" w:num="1">
            <w:col w:w="11240"/>
          </w:cols>
          <w:pgMar w:left="320" w:top="513" w:right="33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055"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income tax provision is computed using an estimated annual effective tax rate, adjusted for discrete items. The estimated annual effective tax rate is subject to significant volatility due to several factors, including changes in the forecasted pre-tax income (loss) and income tax (expense) benefit, realizability of deferred tax assets, intercompany transactions, foreign currency gain (loss), mergers and acquisitions, jurisdictional footprints, and changes in the Company’s business operations. In addition, the effective tax rate’s volatility depends on the amount of pre-tax income (loss). For example, the impact of non-taxable, non-deductible, and discrete items on the effective tax rate is greater when the pre-tax income (loss) is smaller.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expense of $41.3 million and $23.7 million for the six months ended June 30, 2025 and June 30, 2024, respectively. For 2025, the Company’s effective tax rate is expected to be a large negative percentage due to the Company’s pre-tax loss and income tax expense items that are not analogous to pre-tax loss, such as foreign withholding taxes, non-deductible interest expense, and change in valuation allowance. The effective tax rate may vary significantly throughout the year depending on the changes in the pre-tax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sources of liquidity are our existing cash and cash equivalents, cash provided by operations and amounts available under our revolving credit facility. As of June 30, 2025 and December 31, 2024, we had cash and cash equivalents of $110.3 million and $121.2 million, respectively, and availability under our unused revolving credit facility, which expires May 4, 2028.</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principal liquidity needs include debt service and capital expenditures, as well as those required to support working capital, internal growth, and strategic acquisitions and investments. Deferred revenue represents the majority of our current liabilities, which given its nature is not expected to require cash settlement.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existing cash and cash equivalents, cash provided by operations, and financing activities to be adequate to fund our operating activities and cash required for investing and financing activities for at least the next 12 months and thereafter for the foreseeable future.</w:t>
      </w:r>
    </w:p>
    <w:p>
      <w:pPr>
        <w:spacing w:after="0" w:line="17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February 2025, we amended our existing credit agreement, dated as of February 19, 2019. The amendment, among other things, provided for (i) a new tranche of senior secured fixed rate incremental term loans denominated in U.S. Dollars in an aggregate principal amount of $580.0 million and (ii) a new tranche of senior secured term loans denominated in Euros in an aggregate principal amount of €440.0 million. The proceeds of the New Term Loans were used to refinance in full all outstanding Old Term Loans under the existing credit agreement, and will mature on February 21, 2030. See “</w:t>
      </w:r>
      <w:r>
        <w:rPr>
          <w:rFonts w:ascii="Times New Roman" w:cs="Times New Roman" w:eastAsia="Times New Roman" w:hAnsi="Times New Roman"/>
          <w:sz w:val="18"/>
          <w:szCs w:val="18"/>
          <w:i w:val="1"/>
          <w:iCs w:val="1"/>
          <w:color w:val="auto"/>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discussion on our debt refinancing.</w:t>
      </w:r>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May 2025, the Company exercised its option to exchange its New USD Term Loans, on a dollar-for-dollar basis, up to an aggregate principal amount of $580 million, pursuant to the Refinance Agreement, for newly issued 11.25% Senior Secured Notes due 2030 (the “Senior Secured Notes”). The Company issued Senior Secured Notes in an aggregate principal amount of $539.9 million, pursuant to an Indenture, dated as of May 5, 2025 (the “Indenture”).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also be subject to losses as a result of legal proceedings that may be in excess of amounts of insurance coverage available. In particular, we have insurance coverage of $60.0 million for losses in respect of the Initial Warrant Litigation, the Follow-on Warrant Litigation (each as defined in “</w:t>
      </w:r>
      <w:r>
        <w:rPr>
          <w:rFonts w:ascii="Times New Roman" w:cs="Times New Roman" w:eastAsia="Times New Roman" w:hAnsi="Times New Roman"/>
          <w:sz w:val="18"/>
          <w:szCs w:val="18"/>
          <w:i w:val="1"/>
          <w:iCs w:val="1"/>
          <w:color w:val="auto"/>
        </w:rPr>
        <w:t>Note 12 - Legal Proceedings and Contingencies</w:t>
      </w:r>
      <w:r>
        <w:rPr>
          <w:rFonts w:ascii="Times New Roman" w:cs="Times New Roman" w:eastAsia="Times New Roman" w:hAnsi="Times New Roman"/>
          <w:sz w:val="18"/>
          <w:szCs w:val="18"/>
          <w:color w:val="auto"/>
        </w:rPr>
        <w:t>”) and any additional litigation that is filed based on related facts or circumstances, including legal fees and expenses. As of June 30, 2025, we had a remaining insurance recovery receivable related thereto of approximately $37.6 million, with related litigation reserves of $114.0 million. The Company has posted an appeal bond in respect of the Initial Warrant Litigation and, to date, no portion of the judgments entered in the Initial Warrant Litigation, which are subject to appeal, has been paid. To the extent not reimbursed by insurance, we expect to fund any payments required for the resolution of pending legal proceedings with our sources of liquidity. See “</w:t>
      </w:r>
      <w:r>
        <w:rPr>
          <w:rFonts w:ascii="Times New Roman" w:cs="Times New Roman" w:eastAsia="Times New Roman" w:hAnsi="Times New Roman"/>
          <w:sz w:val="18"/>
          <w:szCs w:val="18"/>
          <w:i w:val="1"/>
          <w:iCs w:val="1"/>
          <w:color w:val="auto"/>
        </w:rPr>
        <w:t>Note 12 - Legal Proceedings and Contingencies</w:t>
      </w:r>
      <w:r>
        <w:rPr>
          <w:rFonts w:ascii="Times New Roman" w:cs="Times New Roman" w:eastAsia="Times New Roman" w:hAnsi="Times New Roman"/>
          <w:sz w:val="18"/>
          <w:szCs w:val="18"/>
          <w:color w:val="auto"/>
        </w:rPr>
        <w:t>” herein for additional discussions of the Initial Warrant Litigation and the Follow-On Warrant Litigation.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open tax audits in various jurisdictions and some of these jurisdictions require taxpayers to pay assessed taxes in advance or at the time of appealing such assessments. One such jurisdiction is Canada, where one of the Company’s subsidiaries, iStockphoto ULC, received tax assessments from the Canada Revenue Agency (“CRA”) asserting additional tax is due. The position taken by the CRA is related to the transactions between iStockphoto ULC and other affiliates within the Getty Images group for the 2015 Canadian income tax return filed. The Company believes the CRA position lacks merit and is vigorously contesting these assessments through the appeal process, including engaging with the U.S. Competent Authority.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appeal process in Canada, the Company may be required to pay a portion of the assessment amount, which the Company estimates could be up to $19.1 million. Such required payment is not an admission that the Company believes it is subject to such taxes. The Company believes it is more likely than not it will prevail on appeal, however, if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 were to be successful in the appeal process, the Company estimates the maximum potential outcome could be up to $27.7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37"/>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center"/>
              <w:ind w:left="398"/>
              <w:spacing w:after="0"/>
              <w:rPr>
                <w:sz w:val="20"/>
                <w:szCs w:val="20"/>
                <w:color w:val="auto"/>
              </w:rPr>
            </w:pPr>
            <w:r>
              <w:rPr>
                <w:rFonts w:ascii="Times New Roman" w:cs="Times New Roman" w:eastAsia="Times New Roman" w:hAnsi="Times New Roman"/>
                <w:sz w:val="18"/>
                <w:szCs w:val="18"/>
                <w:color w:val="auto"/>
                <w:w w:val="96"/>
              </w:rPr>
              <w:t>21,930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rPr>
              <w:t>(46,041)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8"/>
              <w:spacing w:after="0"/>
              <w:rPr>
                <w:sz w:val="20"/>
                <w:szCs w:val="20"/>
                <w:color w:val="auto"/>
              </w:rPr>
            </w:pPr>
            <w:r>
              <w:rPr>
                <w:rFonts w:ascii="Times New Roman" w:cs="Times New Roman" w:eastAsia="Times New Roman" w:hAnsi="Times New Roman"/>
                <w:sz w:val="18"/>
                <w:szCs w:val="18"/>
                <w:color w:val="auto"/>
              </w:rPr>
              <w:t>(31,817)</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456"/>
              <w:spacing w:after="0"/>
              <w:rPr>
                <w:sz w:val="20"/>
                <w:szCs w:val="20"/>
                <w:color w:val="auto"/>
              </w:rPr>
            </w:pPr>
            <w:r>
              <w:rPr>
                <w:rFonts w:ascii="Times New Roman" w:cs="Times New Roman" w:eastAsia="Times New Roman" w:hAnsi="Times New Roman"/>
                <w:sz w:val="18"/>
                <w:szCs w:val="18"/>
                <w:color w:val="auto"/>
              </w:rPr>
              <w:t>12,922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center"/>
              <w:ind w:left="378"/>
              <w:spacing w:after="0"/>
              <w:rPr>
                <w:sz w:val="20"/>
                <w:szCs w:val="20"/>
                <w:color w:val="auto"/>
              </w:rPr>
            </w:pPr>
            <w:r>
              <w:rPr>
                <w:rFonts w:ascii="Times New Roman" w:cs="Times New Roman" w:eastAsia="Times New Roman" w:hAnsi="Times New Roman"/>
                <w:sz w:val="18"/>
                <w:szCs w:val="18"/>
                <w:color w:val="auto"/>
              </w:rPr>
              <w:t>(21,299)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rPr>
              <w:t>13,475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Effects of exchange rate fluctuations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98"/>
              <w:spacing w:after="0"/>
              <w:rPr>
                <w:sz w:val="20"/>
                <w:szCs w:val="20"/>
                <w:color w:val="auto"/>
              </w:rPr>
            </w:pPr>
            <w:r>
              <w:rPr>
                <w:rFonts w:ascii="Times New Roman" w:cs="Times New Roman" w:eastAsia="Times New Roman" w:hAnsi="Times New Roman"/>
                <w:sz w:val="18"/>
                <w:szCs w:val="18"/>
                <w:color w:val="auto"/>
                <w:w w:val="96"/>
              </w:rPr>
              <w:t>20,262</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left="456"/>
              <w:spacing w:after="0"/>
              <w:rPr>
                <w:sz w:val="20"/>
                <w:szCs w:val="20"/>
                <w:color w:val="auto"/>
              </w:rPr>
            </w:pPr>
            <w:r>
              <w:rPr>
                <w:rFonts w:ascii="Times New Roman" w:cs="Times New Roman" w:eastAsia="Times New Roman" w:hAnsi="Times New Roman"/>
                <w:sz w:val="18"/>
                <w:szCs w:val="18"/>
                <w:color w:val="auto"/>
              </w:rPr>
              <w:t>23,338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32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primarily comprised of net income, as adjusted for non-cash items, and changes in operating assets and liabilities. Non-cash adjustments consist primarily of depreciation and amortization, unrealized gains and losses on our foreign denominated debt, equity-based compensation and deferred income taxes.</w:t>
      </w:r>
    </w:p>
    <w:p>
      <w:pPr>
        <w:spacing w:after="0" w:line="135" w:lineRule="exact"/>
        <w:rPr>
          <w:sz w:val="20"/>
          <w:szCs w:val="20"/>
          <w:color w:val="auto"/>
        </w:rPr>
      </w:pPr>
    </w:p>
    <w:p>
      <w:pPr>
        <w:jc w:val="both"/>
        <w:ind w:firstLine="192"/>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cash provided by operating activities was $21.9 million, as compared to cash provided by operating activities of $68.0 million for the six months ended June 30, 2024. The decrease in cash provided by operating activities was primarily driven by merger 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investing activities relate to purchases of property and equipment and internal software development as part of our ongoing efforts to innovate in the design, user experience, and performance of our websites.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and 2024, cash used in investing activities was $31.8 million and $44.7 million, respectively. The decrease in cash used for investing activities was related to the acquisition of Motorsport Images LLC and Motorsport.com, Inc.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cash used in financing was $21.3 million, compared to $34.8 million for six months ended June 30, 2024. Financing activities for the six months ended June 30, 2025 included principal payments on our Old Term Loans, offset by proceeds from debt resulting from issuance of the New Term Loans, debt issuance costs, and proceeds from common stock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and Non-GAAP Financial Measures</w:t>
      </w:r>
    </w:p>
    <w:p>
      <w:pPr>
        <w:spacing w:after="0" w:line="229" w:lineRule="exact"/>
        <w:rPr>
          <w:sz w:val="20"/>
          <w:szCs w:val="20"/>
          <w:color w:val="auto"/>
        </w:rPr>
      </w:pPr>
    </w:p>
    <w:p>
      <w:pPr>
        <w:jc w:val="both"/>
        <w:ind w:firstLine="207"/>
        <w:spacing w:after="0" w:line="253" w:lineRule="auto"/>
        <w:rPr>
          <w:sz w:val="20"/>
          <w:szCs w:val="20"/>
          <w:color w:val="auto"/>
        </w:rPr>
      </w:pPr>
      <w:r>
        <w:rPr>
          <w:rFonts w:ascii="Times New Roman" w:cs="Times New Roman" w:eastAsia="Times New Roman" w:hAnsi="Times New Roman"/>
          <w:sz w:val="18"/>
          <w:szCs w:val="18"/>
          <w:color w:val="auto"/>
        </w:rPr>
        <w:t>In addition to evaluating the Company’s performance on a GAAP basis, we use the below key performance indicators (“KPIs”) and financial measures that are not calculated according to generally accepted accounting principles (“GAAP”). We believe the non-GAAP measures of Currency Neutral (“CN”) revenue growth (expressed as a percentage) and Adjusted Earnings Before Interest, Taxes, Depreciation, and Amortization (“Adjusted EBITDA”), Adjusted EBITDA less capex, Adjusted EBITDA margin, Adjusted Net Income and Adjusted Earnings Per Share are useful in evaluating our operating performance. These KPIs and non-GAAP financial measures help us monitor and evaluate the effectiveness of our operations and evaluate period-to-period comparisons. Management believes that these KPIs and non-GAAP financial measures help illustrate underlying trends in our business. We use KPIs and non-GAAP financial measures to establish budgets and operational goals (communicated internally and externally), manage our business and evaluate our performance. We also believe that management and investors benefit from referring to our KPIs and non-GAAP financial measures as supplemental information in assessing our performance and when planning, forecasting, and analyzing future periods. We believe our KPIs and non-GAAP financial measures are useful to investors both because they allow for greater transparency with respect to financial measures used by management in their financial and operational decision-making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also because investors and the analyst community use them to help evaluate the health of our business. The non-GAAP financial information is presented for supplemental informational purposes only, and should not be considered a substitute for financial information presented. Investors are encouraged to review the related GAAP financial measures and the reconciliation of these non-GAAP financial measures to their most comparable GAAP financial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KPIs outlined below are the metrics that provide management with the most immediate understanding of the drivers of business performance and our ability to deliver shareholder return, track to financial targets and prioritize customer satisfaction. Our KPIs are reported on a trailing, or last, 12-month basis (“LTM”), which we believe provides a more current view of the Company’s operational performance than year-to-date figures.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KPI comparisons for the last twelve months ended June 30, 2024 reflect the impact of the Hollywood strikes.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6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Last Twelve Months Ended June 30,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total purchasing customers (thousands)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707</w:t>
            </w: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LTM total active annual subscribers (thousands)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13.8%</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paid download volume (millions)</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LTM annual subscriber revenue retention rate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93.4%</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89.4%</w:t>
            </w:r>
          </w:p>
        </w:tc>
        <w:tc>
          <w:tcPr>
            <w:tcW w:w="16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bps</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collection (millions)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591</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collection (millions)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6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video attachment rate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w:t>
            </w:r>
          </w:p>
        </w:tc>
        <w:tc>
          <w:tcPr>
            <w:tcW w:w="16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 bps</w:t>
            </w:r>
          </w:p>
        </w:tc>
        <w:tc>
          <w:tcPr>
            <w:tcW w:w="0" w:type="dxa"/>
            <w:vAlign w:val="bottom"/>
          </w:tcPr>
          <w:p>
            <w:pPr>
              <w:spacing w:after="0"/>
              <w:rPr>
                <w:sz w:val="1"/>
                <w:szCs w:val="1"/>
                <w:color w:val="auto"/>
              </w:rPr>
            </w:pPr>
          </w:p>
        </w:tc>
      </w:tr>
      <w:tr>
        <w:trPr>
          <w:trHeight w:val="281"/>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80" w:hanging="72"/>
        <w:spacing w:after="0" w:line="200" w:lineRule="auto"/>
        <w:tabs>
          <w:tab w:leader="none" w:pos="95"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downloads from Editorial Subscriptions, Editorial feeds and certain API structured deals, including bulk unlimited deals. Excludes downloads related to an agreement signed with Amazon, as the magnitude of the potential download volume over the deal term could result in significant fluctuations in this metric without corresponding impact to revenue in the same period.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purchasing customers</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purchasing customers is defined as the count of total customers who made a purchase within the reporting period based on billed revenue. This metric provides management and investors with an understanding of both how we are growing our purchasing customer base and combined with revenue, an understanding of our average revenue per purchasing customer. This metric differs from total customers, which is a count of all downloading customers, irrespective of whether they made a purchase in the period.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purchasing customers decreased 4.4% to 707,000 for the last twelve months ended June 30, 2025, compared to 740,000 for the LTM ended June 30, 2024. This decrease can be attributed to lower ALC transaction volume primarily due to the ongoing shift of our customers to more committed annual subscription products. Importantly, the shift into more committed solutions continues to have a positive impact on annual revenue per purchasing customer, which grew by 9.2% to $1,338 for the LTM ended June 30, 2025 from $1,226 for the last twelve months ended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active annual subscribers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active annual subscribers is the count of customers who were on an annual subscription product during the LTM reporting period. This metric provides management and investors with visibility into the rate at which we are growing our annual subscriber base and is highly correlated to the percentage of our revenue that comes from annual subscription products.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active annual subscribers increased 13.8% to 321,000 for the LTM ended June 30, 2025 compared to 282,000 for the LTM ended June 30, 2024. Expanded e-commerce subscriptions including iStock and Unsplash+ subscriptions primarily drove growth. This reflects our strategic focus on subscription offerings to provide comprehensive content solutions. We have a strong pipeline of new customers as demand for visual content remains strong, while also helping existing customers evolve with their expanding visual narratives.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Paid download volume</w:t>
      </w: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Paid download volume is a count of the number of paid downloads by our customers in the reported period. This metric informs both management and investors about the volumes at which customers are engaging with our content over time.</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Paid download volume was down 1.7% to 93 million downloads for LTM ended June 30, 2025 compared to 95 million for the LTM ended June 30, 2024. We believe that the reasonably steady demand in paid download volumes during the LTM period that had a myriad of macro-economic challenges, is a strong outcome and signals that our content continues to meet our customers evolving needs.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subscriber revenue retention rate</w:t>
      </w:r>
    </w:p>
    <w:p>
      <w:pPr>
        <w:spacing w:after="0" w:line="205"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annual subscriber revenue retention rate calculates retention of total revenue for customers on annual subscription products, comparing the customer’s total booked revenue (inclusive of spend for annual subscription and non-annual subscription products) in the LTM period to the prior twelve month period. For example, LTM annual subscriber booked revenue (the amount of revenue invoiced to customers) for the period ended June 30, 2025 was 93.4% of revenue from these customers in the period ended June 30, 2024. The revenue retention rate informs management and investors on the degree to which we are maintaining or growing revenue from our annual subscriber base. As we continue to focus on growing subscriptions as a percentage of total revenue, revenue retention for these customers is a key driver of the predictability of our financial model with respect to revenue.</w:t>
      </w:r>
    </w:p>
    <w:p>
      <w:pPr>
        <w:spacing w:after="0" w:line="159" w:lineRule="exact"/>
        <w:rPr>
          <w:sz w:val="20"/>
          <w:szCs w:val="20"/>
          <w:color w:val="auto"/>
        </w:rPr>
      </w:pPr>
    </w:p>
    <w:p>
      <w:pPr>
        <w:ind w:right="320" w:firstLine="177"/>
        <w:spacing w:after="0" w:line="245" w:lineRule="auto"/>
        <w:rPr>
          <w:sz w:val="20"/>
          <w:szCs w:val="20"/>
          <w:color w:val="auto"/>
        </w:rPr>
      </w:pPr>
      <w:r>
        <w:rPr>
          <w:rFonts w:ascii="Times New Roman" w:cs="Times New Roman" w:eastAsia="Times New Roman" w:hAnsi="Times New Roman"/>
          <w:sz w:val="18"/>
          <w:szCs w:val="18"/>
          <w:color w:val="auto"/>
        </w:rPr>
        <w:t>The annual subscriber revenue retention rate increased to 93.4% for the last twelve months ended June 30, 2025 from 89.4% over the twelve months ended June 30, 2024. The improvement in revenue retention reflects a return to a more stable trend, driven by an expected stabilization in the growth of smaller e-commerce subscribers, who typically have lower retention rates, as well as the fading impact of last year’s Hollywood strikes. The company expects revenue retention to continue stabilizing in 2025 compared to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Image and Video collection</w:t>
      </w: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Image and Video collection is a count of the total images and videos in our content library as of the reporting date. Management and investors can view growth in the size, both depth and breadth, of the content library as an indication of our ability to continue to expand our content offering with premium, high quality, contemporary content to meet the evolving needs of our customers. Image and video collections increased as of June 30, 2025 compared to June 30, 2024. Our image collection grew 7.0% to 591 million images as of June 30, 2025 compared to 553 million as of June 30, 2024. Our video collection grew 14.7% to 34 million videos over the same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Video attachment rate</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Video attachment rate is a measure of the percentage of total paid customer downloaders who are video downloaders. Customer demand for video content continues to grow and represents a significant opportunity for revenue growth for Getty Images. The video attachment rate provides management and investors with an indication of our customers’ level of engagement with our video content offering. Our expansion of video across our subscription products is focused on further increasing the attachment rate over time.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video attachment rate increased to 16.7% for the last twelve months ended June 30, 2025 from 15.6% for the last twelve months ended June 30, 2024. The video attachment rate provides management and investors with an indication of our customers’ level of engagement with our video content offering. Our expansion of video across our subscription products is focused on further increasing the attachment rate over time. The increase in video attachment rates reflects increased customer awareness of our video offering, improved search and site prominence for video content, and upselling of video into subscriptions.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Neutral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Currency Neutral revenue changes (expressed as a percentage) exclude the impact of fluctuating foreign currency values pegged to the U.S. dollar between comparative periods by translating all local currencies using the current period exchange rates. We consistently apply this approach to revenue for all countries where the functional currency is not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dollar. We believe that this presentation provides useful supplemental information regarding changes in our revenue not driven by fluctuations in the value of foreign currencies.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EBITDA, Adjusted EBITDA Margin, and Adjusted EBITDA less Capex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interest, taxes, depreciation, amortization, equity-based compensation, other operating expenses-net, and certain other expenses not directly related to the core operations of our business. A reconciliation is provided below to the most comparable financial measure stated in accordance with U.S. GAAP. We define Adjusted EBITDA Margin as the ratio of Adjusted EBITDA to revenue.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2"/>
                <w:szCs w:val="22"/>
                <w:color w:val="auto"/>
              </w:rPr>
            </w:pPr>
          </w:p>
        </w:tc>
        <w:tc>
          <w:tcPr>
            <w:tcW w:w="29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0"/>
        </w:trPr>
        <w:tc>
          <w:tcPr>
            <w:tcW w:w="4480" w:type="dxa"/>
            <w:vAlign w:val="bottom"/>
            <w:tcBorders>
              <w:top w:val="single" w:sz="8" w:color="auto"/>
              <w:bottom w:val="single" w:sz="8" w:color="CFF0FC"/>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23"/>
                <w:szCs w:val="23"/>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(34,359)</w:t>
            </w:r>
          </w:p>
        </w:tc>
        <w:tc>
          <w:tcPr>
            <w:tcW w:w="8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(136,931)</w:t>
            </w:r>
          </w:p>
        </w:tc>
        <w:tc>
          <w:tcPr>
            <w:tcW w:w="8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17,276</w:t>
            </w:r>
          </w:p>
        </w:tc>
      </w:tr>
      <w:tr>
        <w:trPr>
          <w:trHeight w:val="250"/>
        </w:trPr>
        <w:tc>
          <w:tcPr>
            <w:tcW w:w="4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Add/(less) non-GAAP adjustments:</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16,108</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15,281</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31,621</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30,175</w:t>
            </w:r>
          </w:p>
        </w:tc>
      </w:tr>
      <w:tr>
        <w:trPr>
          <w:trHeight w:val="26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 net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10,512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28,914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3,408</w:t>
            </w:r>
          </w:p>
        </w:tc>
      </w:tr>
      <w:tr>
        <w:trPr>
          <w:trHeight w:val="26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litigation</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6,350</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4,814</w:t>
            </w:r>
          </w:p>
        </w:tc>
      </w:tr>
      <w:tr>
        <w:trPr>
          <w:trHeight w:val="25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36,556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69,231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66,614</w:t>
            </w:r>
          </w:p>
        </w:tc>
      </w:tr>
      <w:tr>
        <w:trPr>
          <w:trHeight w:val="218"/>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adjustments, foreign exchange and other non-</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48"/>
        </w:trPr>
        <w:tc>
          <w:tcPr>
            <w:tcW w:w="448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operating (income) expense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56,706</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83,878</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(20,097)</w:t>
            </w:r>
          </w:p>
        </w:tc>
      </w:tr>
      <w:tr>
        <w:trPr>
          <w:trHeight w:val="25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(23,343)</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12,498</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41,250</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23,699</w:t>
            </w:r>
          </w:p>
        </w:tc>
      </w:tr>
      <w:tr>
        <w:trPr>
          <w:trHeight w:val="250"/>
        </w:trPr>
        <w:tc>
          <w:tcPr>
            <w:tcW w:w="4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 net of capitalization</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3,787</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8,311</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13,148</w:t>
            </w:r>
          </w:p>
        </w:tc>
      </w:tr>
      <w:tr>
        <w:trPr>
          <w:trHeight w:val="25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67,974</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68,824</w:t>
            </w:r>
          </w:p>
        </w:tc>
        <w:tc>
          <w:tcPr>
            <w:tcW w:w="1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138,098</w:t>
            </w: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139,037</w:t>
            </w:r>
          </w:p>
        </w:tc>
      </w:tr>
      <w:tr>
        <w:trPr>
          <w:trHeight w:val="250"/>
        </w:trPr>
        <w:tc>
          <w:tcPr>
            <w:tcW w:w="4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Capex</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16,114</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31,817</w:t>
            </w: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29,833</w:t>
            </w:r>
          </w:p>
        </w:tc>
      </w:tr>
      <w:tr>
        <w:trPr>
          <w:trHeight w:val="26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less capex</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51,860</w:t>
            </w:r>
          </w:p>
        </w:tc>
        <w:tc>
          <w:tcPr>
            <w:tcW w:w="8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53,444</w:t>
            </w:r>
          </w:p>
        </w:tc>
        <w:tc>
          <w:tcPr>
            <w:tcW w:w="10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106,281</w:t>
            </w:r>
          </w:p>
        </w:tc>
        <w:tc>
          <w:tcPr>
            <w:tcW w:w="8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109,204</w:t>
            </w:r>
          </w:p>
        </w:tc>
      </w:tr>
      <w:tr>
        <w:trPr>
          <w:trHeight w:val="25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3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4"/>
          <w:szCs w:val="14"/>
          <w:color w:val="auto"/>
        </w:rPr>
        <w:t>(1) Fair value adjustments for our swaps and foreign currency exchange contracts, foreign exchange gains (losses) and other insignificant non-operating related expenses (income).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Income and Adjusted 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Adjusted Net Income and Adjusted Earnings Per Share are non-GAAP financial measures that we use to provide a more meaningful comparison of our core operating results from period to period. These measures exclude the impact of certain items that we believe are not indicative of our core operating performance. These adjustments include, but are not limited to, foreign exchange gains (losses), net and other non-recurring items. The following table reconciles Net Income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(Loss) and Earnings (Loss) Per Share, the most directly comparable GAAP measures, to Adjusted Net Income (Loss) and Adjusted Earnings (Loss) Per Share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2"/>
                <w:szCs w:val="22"/>
                <w:color w:val="auto"/>
              </w:rPr>
            </w:pPr>
          </w:p>
        </w:tc>
        <w:tc>
          <w:tcPr>
            <w:tcW w:w="27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0"/>
        </w:trPr>
        <w:tc>
          <w:tcPr>
            <w:tcW w:w="486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shd w:val="clear" w:color="auto" w:fill="CCEEFF"/>
          </w:tcPr>
          <w:p>
            <w:pPr>
              <w:spacing w:after="0"/>
              <w:rPr>
                <w:sz w:val="23"/>
                <w:szCs w:val="23"/>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(34,359)</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(136,931)</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17,276</w:t>
            </w:r>
          </w:p>
        </w:tc>
      </w:tr>
      <w:tr>
        <w:trPr>
          <w:trHeight w:val="250"/>
        </w:trPr>
        <w:tc>
          <w:tcPr>
            <w:tcW w:w="48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Add/(less) non-GAAP adjustments:</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5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13,148</w:t>
            </w:r>
          </w:p>
        </w:tc>
      </w:tr>
      <w:tr>
        <w:trPr>
          <w:trHeight w:val="257"/>
        </w:trPr>
        <w:tc>
          <w:tcPr>
            <w:tcW w:w="48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of equity-based compensation expense</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r>
      <w:tr>
        <w:trPr>
          <w:trHeight w:val="25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litigation</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57"/>
        </w:trPr>
        <w:tc>
          <w:tcPr>
            <w:tcW w:w="48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of loss on litigation, net of recovery</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5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54,771</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79,849</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(18,861)</w:t>
            </w:r>
          </w:p>
        </w:tc>
      </w:tr>
      <w:tr>
        <w:trPr>
          <w:trHeight w:val="256"/>
        </w:trPr>
        <w:tc>
          <w:tcPr>
            <w:tcW w:w="48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on foreign exchange (loss) gain – net</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r>
      <w:tr>
        <w:trPr>
          <w:trHeight w:val="25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32,419</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7"/>
        </w:trPr>
        <w:tc>
          <w:tcPr>
            <w:tcW w:w="48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Tax effect of acquisition related costs</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5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 and expensed financing costs</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loss on debt extinguishment and expensed financing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8"/>
        </w:trPr>
        <w:tc>
          <w:tcPr>
            <w:tcW w:w="4860" w:type="dxa"/>
            <w:vAlign w:val="bottom"/>
            <w:tcBorders>
              <w:bottom w:val="single" w:sz="8" w:color="CFF0FC"/>
            </w:tcBorders>
          </w:tcPr>
          <w:p>
            <w:pPr>
              <w:ind w:left="20"/>
              <w:spacing w:after="0" w:line="247"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(36,087)</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17,718</w:t>
            </w:r>
          </w:p>
        </w:tc>
      </w:tr>
      <w:tr>
        <w:trPr>
          <w:trHeight w:val="257"/>
        </w:trPr>
        <w:tc>
          <w:tcPr>
            <w:tcW w:w="4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6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70"/>
        </w:trPr>
        <w:tc>
          <w:tcPr>
            <w:tcW w:w="4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413,741,878</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414,439,239</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413,110,883</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414,666,363</w:t>
            </w:r>
          </w:p>
        </w:tc>
      </w:tr>
    </w:tbl>
    <w:p>
      <w:pPr>
        <w:spacing w:after="0" w:line="258" w:lineRule="exact"/>
        <w:rPr>
          <w:sz w:val="20"/>
          <w:szCs w:val="20"/>
          <w:color w:val="auto"/>
        </w:rPr>
      </w:pPr>
    </w:p>
    <w:p>
      <w:pPr>
        <w:ind w:left="80" w:hanging="72"/>
        <w:spacing w:after="0"/>
        <w:tabs>
          <w:tab w:leader="none" w:pos="8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Statutory tax rates used to calculate the tax effect of the adjustments.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4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 appears in our 2024 Form 10-K, under “</w:t>
      </w:r>
      <w:r>
        <w:rPr>
          <w:rFonts w:ascii="Times New Roman" w:cs="Times New Roman" w:eastAsia="Times New Roman" w:hAnsi="Times New Roman"/>
          <w:sz w:val="18"/>
          <w:szCs w:val="18"/>
          <w:i w:val="1"/>
          <w:iCs w:val="1"/>
          <w:color w:val="auto"/>
        </w:rPr>
        <w:t>Management’s Discussion and Analysis of Financial Condition and Results of Operations—Critical accounting policies and estimates.</w:t>
      </w:r>
      <w:r>
        <w:rPr>
          <w:rFonts w:ascii="Times New Roman" w:cs="Times New Roman" w:eastAsia="Times New Roman" w:hAnsi="Times New Roman"/>
          <w:sz w:val="18"/>
          <w:szCs w:val="18"/>
          <w:color w:val="auto"/>
        </w:rPr>
        <w:t xml:space="preserve">” Our accounting policies are also described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in our 2024 Form 10-K and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interim condensed consolidated financial statements in this Quarterly Report on Form 10-Q for the period ended June 30, 2025. We believe our most critical accounting policies include revenue recognition, accrued litigation reserves, and accounting for income taxes.</w:t>
      </w:r>
    </w:p>
    <w:p>
      <w:pPr>
        <w:spacing w:after="0" w:line="2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207"/>
        <w:spacing w:after="0" w:line="266" w:lineRule="auto"/>
        <w:rPr>
          <w:sz w:val="20"/>
          <w:szCs w:val="20"/>
          <w:color w:val="auto"/>
        </w:rPr>
      </w:pPr>
      <w:r>
        <w:rPr>
          <w:rFonts w:ascii="Times New Roman" w:cs="Times New Roman" w:eastAsia="Times New Roman" w:hAnsi="Times New Roman"/>
          <w:sz w:val="18"/>
          <w:szCs w:val="18"/>
          <w:color w:val="auto"/>
        </w:rPr>
        <w:t>On February 19, 2024, the Company’s 5-year interest rate swap with a notional amount of $355.0 million matured. This interest rate swap was used to hedge the variable interest rate risk on a portion of the Company’s outstanding term loan debt. The Company has not entered into any new interest rate hedging arrangements since the swap maturity.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maturity of the interest rate swap mentioned above, there have been no material changes in our market risk exposures for the quarters ended June 30, 2025 and June 30, 2024, as compared to those discussed in our 2024 Form 10-K.</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2025. Based on this evaluation, our Chief Executive Officer and Chief Financial Officer have concluded that, as of June 30, 2025,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controls over financial reporting that materially affected, or are reasonably likely to materially affect, our internal control over financial reporting during the quarter ended June 30,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OTHER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are subject to certain legal proceedings and claims incidental to the operation of our business. We are also subject to certain other legal proceedings and claims that have arisen in the ordinary course of business that have not been fully adjudicated. We currently do not anticipate that these matters will have a material adverse impact on our financial results.</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For further information regarding our legal proceedings and claims, see </w:t>
      </w:r>
      <w:r>
        <w:rPr>
          <w:rFonts w:ascii="Times New Roman" w:cs="Times New Roman" w:eastAsia="Times New Roman" w:hAnsi="Times New Roman"/>
          <w:sz w:val="18"/>
          <w:szCs w:val="18"/>
          <w:i w:val="1"/>
          <w:iCs w:val="1"/>
          <w:color w:val="auto"/>
        </w:rPr>
        <w:t>Note 12 - Legal Proceedings and Contingencies</w:t>
      </w:r>
      <w:r>
        <w:rPr>
          <w:rFonts w:ascii="Times New Roman" w:cs="Times New Roman" w:eastAsia="Times New Roman" w:hAnsi="Times New Roman"/>
          <w:sz w:val="18"/>
          <w:szCs w:val="18"/>
          <w:color w:val="auto"/>
        </w:rPr>
        <w:t>, included in Part I, Item 1, condensed consolidated financial statements,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1, Item 1A. of our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described in the table below, during the three months ended June 30, 2025, none of the Company’s directors or officers (as defined in Section 16a-1(f) of the Securities Exchange Act of 1934, as amended) adopted or terminated a “Rule 10b5-1 trading arrangement” or “non-Rule 10b5-1 trading arrangement” as each term is defined in Item 408 of Regulation S-K. The trading arrangements described below were entered into during an open insider trading window and were in compliance with our insider trading policies and procedures. Actual sale transactions will be disclosed publicly in filings with the SEC in accordance with applicable securities laws, rules, and regulations.</w:t>
      </w:r>
    </w:p>
    <w:p>
      <w:pPr>
        <w:sectPr>
          <w:pgSz w:w="11900" w:h="16838" w:orient="portrait"/>
          <w:cols w:equalWidth="0" w:num="1">
            <w:col w:w="11240"/>
          </w:cols>
          <w:pgMar w:left="320" w:top="513" w:right="339" w:bottom="1440" w:gutter="0" w:footer="0" w:header="0"/>
        </w:sectPr>
      </w:pPr>
    </w:p>
    <w:bookmarkStart w:id="43" w:name="page44"/>
    <w:bookmarkEnd w:id="43"/>
    <w:p>
      <w:pPr>
        <w:ind w:left="7080"/>
        <w:spacing w:after="0"/>
        <w:rPr>
          <w:sz w:val="20"/>
          <w:szCs w:val="20"/>
          <w:color w:val="auto"/>
        </w:rPr>
      </w:pPr>
      <w:r>
        <w:rPr>
          <w:rFonts w:ascii="Times New Roman" w:cs="Times New Roman" w:eastAsia="Times New Roman" w:hAnsi="Times New Roman"/>
          <w:sz w:val="15"/>
          <w:szCs w:val="15"/>
          <w:b w:val="1"/>
          <w:bCs w:val="1"/>
          <w:color w:val="auto"/>
        </w:rPr>
        <w:t>Trading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46355</wp:posOffset>
            </wp:positionV>
            <wp:extent cx="3745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sect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Name and Title</w:t>
      </w:r>
    </w:p>
    <w:p>
      <w:pPr>
        <w:spacing w:after="0" w:line="48" w:lineRule="exact"/>
        <w:rPr>
          <w:sz w:val="20"/>
          <w:szCs w:val="20"/>
          <w:color w:val="auto"/>
        </w:rPr>
      </w:pPr>
    </w:p>
    <w:p>
      <w:pPr>
        <w:ind w:left="20" w:right="580"/>
        <w:spacing w:after="0" w:line="272" w:lineRule="auto"/>
        <w:rPr>
          <w:sz w:val="20"/>
          <w:szCs w:val="20"/>
          <w:color w:val="auto"/>
        </w:rPr>
      </w:pPr>
      <w:r>
        <w:rPr>
          <w:rFonts w:ascii="Times New Roman" w:cs="Times New Roman" w:eastAsia="Times New Roman" w:hAnsi="Times New Roman"/>
          <w:sz w:val="16"/>
          <w:szCs w:val="16"/>
          <w:color w:val="auto"/>
        </w:rPr>
        <w:t>Mikael Cho, Senior Vice President, CEO-Unsplash</w:t>
      </w:r>
    </w:p>
    <w:p>
      <w:pPr>
        <w:spacing w:after="0" w:line="1" w:lineRule="exact"/>
        <w:rPr>
          <w:sz w:val="20"/>
          <w:szCs w:val="20"/>
          <w:color w:val="auto"/>
        </w:rPr>
      </w:pPr>
    </w:p>
    <w:p>
      <w:pPr>
        <w:ind w:left="20" w:right="580"/>
        <w:spacing w:after="0" w:line="272" w:lineRule="auto"/>
        <w:rPr>
          <w:sz w:val="20"/>
          <w:szCs w:val="20"/>
          <w:color w:val="auto"/>
        </w:rPr>
      </w:pPr>
      <w:r>
        <w:rPr>
          <w:rFonts w:ascii="Times New Roman" w:cs="Times New Roman" w:eastAsia="Times New Roman" w:hAnsi="Times New Roman"/>
          <w:sz w:val="16"/>
          <w:szCs w:val="16"/>
          <w:color w:val="auto"/>
        </w:rPr>
        <w:t>Mikael Cho, Senior Vice President, CEO-Unsplash</w:t>
      </w:r>
    </w:p>
    <w:p>
      <w:pPr>
        <w:spacing w:after="0" w:line="1" w:lineRule="exact"/>
        <w:rPr>
          <w:sz w:val="20"/>
          <w:szCs w:val="20"/>
          <w:color w:val="auto"/>
        </w:rPr>
      </w:pPr>
    </w:p>
    <w:p>
      <w:pPr>
        <w:ind w:left="20" w:right="500"/>
        <w:spacing w:after="0" w:line="272" w:lineRule="auto"/>
        <w:rPr>
          <w:sz w:val="20"/>
          <w:szCs w:val="20"/>
          <w:color w:val="auto"/>
        </w:rPr>
      </w:pPr>
      <w:r>
        <w:rPr>
          <w:rFonts w:ascii="Times New Roman" w:cs="Times New Roman" w:eastAsia="Times New Roman" w:hAnsi="Times New Roman"/>
          <w:sz w:val="16"/>
          <w:szCs w:val="16"/>
          <w:color w:val="auto"/>
        </w:rPr>
        <w:t>Grant Farhall, Senior Vice President, Chief Product Officer</w:t>
      </w:r>
    </w:p>
    <w:p>
      <w:pPr>
        <w:spacing w:after="0" w:line="1" w:lineRule="exact"/>
        <w:rPr>
          <w:sz w:val="20"/>
          <w:szCs w:val="20"/>
          <w:color w:val="auto"/>
        </w:rPr>
      </w:pPr>
    </w:p>
    <w:p>
      <w:pPr>
        <w:ind w:left="20" w:right="640"/>
        <w:spacing w:after="0" w:line="272" w:lineRule="auto"/>
        <w:rPr>
          <w:sz w:val="20"/>
          <w:szCs w:val="20"/>
          <w:color w:val="auto"/>
        </w:rPr>
      </w:pPr>
      <w:r>
        <w:rPr>
          <w:rFonts w:ascii="Times New Roman" w:cs="Times New Roman" w:eastAsia="Times New Roman" w:hAnsi="Times New Roman"/>
          <w:sz w:val="16"/>
          <w:szCs w:val="16"/>
          <w:color w:val="auto"/>
        </w:rPr>
        <w:t>Grant Foca, Senior Vice President, Chief Marketing and Revenue Officer</w:t>
      </w:r>
    </w:p>
    <w:p>
      <w:pPr>
        <w:spacing w:after="0" w:line="1" w:lineRule="exact"/>
        <w:rPr>
          <w:sz w:val="20"/>
          <w:szCs w:val="20"/>
          <w:color w:val="auto"/>
        </w:rPr>
      </w:pPr>
    </w:p>
    <w:p>
      <w:pPr>
        <w:ind w:left="20" w:right="500"/>
        <w:spacing w:after="0" w:line="272" w:lineRule="auto"/>
        <w:rPr>
          <w:sz w:val="20"/>
          <w:szCs w:val="20"/>
          <w:color w:val="auto"/>
        </w:rPr>
      </w:pPr>
      <w:r>
        <w:rPr>
          <w:rFonts w:ascii="Times New Roman" w:cs="Times New Roman" w:eastAsia="Times New Roman" w:hAnsi="Times New Roman"/>
          <w:sz w:val="16"/>
          <w:szCs w:val="16"/>
          <w:color w:val="auto"/>
        </w:rPr>
        <w:t>Nate Gandert, Senior Vice President, Chief Technology Officer</w:t>
      </w:r>
    </w:p>
    <w:p>
      <w:pPr>
        <w:spacing w:after="0" w:line="1" w:lineRule="exact"/>
        <w:rPr>
          <w:sz w:val="20"/>
          <w:szCs w:val="20"/>
          <w:color w:val="auto"/>
        </w:rPr>
      </w:pPr>
    </w:p>
    <w:p>
      <w:pPr>
        <w:ind w:left="20"/>
        <w:spacing w:after="0" w:line="272" w:lineRule="auto"/>
        <w:rPr>
          <w:sz w:val="20"/>
          <w:szCs w:val="20"/>
          <w:color w:val="auto"/>
        </w:rPr>
      </w:pPr>
      <w:r>
        <w:rPr>
          <w:rFonts w:ascii="Times New Roman" w:cs="Times New Roman" w:eastAsia="Times New Roman" w:hAnsi="Times New Roman"/>
          <w:sz w:val="16"/>
          <w:szCs w:val="16"/>
          <w:color w:val="auto"/>
        </w:rPr>
        <w:t>Jerry Jenkins, Senior Vice President, Chief Human Resources Officer</w:t>
      </w:r>
    </w:p>
    <w:p>
      <w:pPr>
        <w:spacing w:after="0" w:line="1" w:lineRule="exact"/>
        <w:rPr>
          <w:sz w:val="20"/>
          <w:szCs w:val="20"/>
          <w:color w:val="auto"/>
        </w:rPr>
      </w:pPr>
    </w:p>
    <w:p>
      <w:pPr>
        <w:ind w:left="20" w:right="200"/>
        <w:spacing w:after="0" w:line="272" w:lineRule="auto"/>
        <w:rPr>
          <w:sz w:val="20"/>
          <w:szCs w:val="20"/>
          <w:color w:val="auto"/>
        </w:rPr>
      </w:pPr>
      <w:r>
        <w:rPr>
          <w:rFonts w:ascii="Times New Roman" w:cs="Times New Roman" w:eastAsia="Times New Roman" w:hAnsi="Times New Roman"/>
          <w:sz w:val="16"/>
          <w:szCs w:val="16"/>
          <w:color w:val="auto"/>
        </w:rPr>
        <w:t>Kjelti Kellough, Senior Vice President, General Counsel and Corporate Secretary</w:t>
      </w:r>
    </w:p>
    <w:p>
      <w:pPr>
        <w:spacing w:after="0" w:line="1" w:lineRule="exact"/>
        <w:rPr>
          <w:sz w:val="20"/>
          <w:szCs w:val="20"/>
          <w:color w:val="auto"/>
        </w:rPr>
      </w:pPr>
    </w:p>
    <w:p>
      <w:pPr>
        <w:ind w:left="20" w:right="320"/>
        <w:spacing w:after="0" w:line="272" w:lineRule="auto"/>
        <w:rPr>
          <w:sz w:val="20"/>
          <w:szCs w:val="20"/>
          <w:color w:val="auto"/>
        </w:rPr>
      </w:pPr>
      <w:r>
        <w:rPr>
          <w:rFonts w:ascii="Times New Roman" w:cs="Times New Roman" w:eastAsia="Times New Roman" w:hAnsi="Times New Roman"/>
          <w:sz w:val="16"/>
          <w:szCs w:val="16"/>
          <w:color w:val="auto"/>
        </w:rPr>
        <w:t>Jennifer Leyden, Senior Vice President, Chief Financial Officer</w:t>
      </w:r>
    </w:p>
    <w:p>
      <w:pPr>
        <w:spacing w:after="0" w:line="1" w:lineRule="exact"/>
        <w:rPr>
          <w:sz w:val="20"/>
          <w:szCs w:val="20"/>
          <w:color w:val="auto"/>
        </w:rPr>
      </w:pPr>
    </w:p>
    <w:p>
      <w:pPr>
        <w:ind w:left="20" w:right="320"/>
        <w:spacing w:after="0" w:line="272" w:lineRule="auto"/>
        <w:rPr>
          <w:sz w:val="20"/>
          <w:szCs w:val="20"/>
          <w:color w:val="auto"/>
        </w:rPr>
      </w:pPr>
      <w:r>
        <w:rPr>
          <w:rFonts w:ascii="Times New Roman" w:cs="Times New Roman" w:eastAsia="Times New Roman" w:hAnsi="Times New Roman"/>
          <w:sz w:val="16"/>
          <w:szCs w:val="16"/>
          <w:color w:val="auto"/>
        </w:rPr>
        <w:t>Jennifer Leyden, Senior Vice President, Chief Financial Officer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Ken Mainardis, Senior Vice President, Editorial</w:t>
      </w:r>
    </w:p>
    <w:p>
      <w:pPr>
        <w:spacing w:after="0" w:line="59" w:lineRule="exact"/>
        <w:rPr>
          <w:sz w:val="20"/>
          <w:szCs w:val="20"/>
          <w:color w:val="auto"/>
        </w:rPr>
      </w:pPr>
    </w:p>
    <w:p>
      <w:pPr>
        <w:ind w:left="20" w:right="160"/>
        <w:spacing w:after="0" w:line="272" w:lineRule="auto"/>
        <w:rPr>
          <w:sz w:val="20"/>
          <w:szCs w:val="20"/>
          <w:color w:val="auto"/>
        </w:rPr>
      </w:pPr>
      <w:r>
        <w:rPr>
          <w:rFonts w:ascii="Times New Roman" w:cs="Times New Roman" w:eastAsia="Times New Roman" w:hAnsi="Times New Roman"/>
          <w:sz w:val="16"/>
          <w:szCs w:val="16"/>
          <w:color w:val="auto"/>
        </w:rPr>
        <w:t>Peter Orlowsky, Senior Vice President, Strategic Development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Craig Peters, Chief Executive Officer</w:t>
      </w:r>
    </w:p>
    <w:p>
      <w:pPr>
        <w:spacing w:after="0" w:line="59" w:lineRule="exact"/>
        <w:rPr>
          <w:sz w:val="20"/>
          <w:szCs w:val="20"/>
          <w:color w:val="auto"/>
        </w:rPr>
      </w:pPr>
    </w:p>
    <w:p>
      <w:pPr>
        <w:ind w:left="20" w:right="160"/>
        <w:spacing w:after="0" w:line="272" w:lineRule="auto"/>
        <w:rPr>
          <w:sz w:val="20"/>
          <w:szCs w:val="20"/>
          <w:color w:val="auto"/>
        </w:rPr>
      </w:pPr>
      <w:r>
        <w:rPr>
          <w:rFonts w:ascii="Times New Roman" w:cs="Times New Roman" w:eastAsia="Times New Roman" w:hAnsi="Times New Roman"/>
          <w:sz w:val="16"/>
          <w:szCs w:val="16"/>
          <w:color w:val="auto"/>
        </w:rPr>
        <w:t>Michael Teaster, Senior Vice President, Chief of Staff</w:t>
      </w:r>
    </w:p>
    <w:p>
      <w:pPr>
        <w:spacing w:after="0" w:line="1" w:lineRule="exact"/>
        <w:rPr>
          <w:sz w:val="20"/>
          <w:szCs w:val="20"/>
          <w:color w:val="auto"/>
        </w:rPr>
      </w:pPr>
    </w:p>
    <w:p>
      <w:pPr>
        <w:ind w:left="20" w:right="160"/>
        <w:spacing w:after="0" w:line="272" w:lineRule="auto"/>
        <w:rPr>
          <w:sz w:val="20"/>
          <w:szCs w:val="20"/>
          <w:color w:val="auto"/>
        </w:rPr>
      </w:pPr>
      <w:r>
        <w:rPr>
          <w:rFonts w:ascii="Times New Roman" w:cs="Times New Roman" w:eastAsia="Times New Roman" w:hAnsi="Times New Roman"/>
          <w:sz w:val="16"/>
          <w:szCs w:val="16"/>
          <w:color w:val="auto"/>
        </w:rPr>
        <w:t>Michael Teaster, Senior Vice President, Chief of Staff</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Daine Weston, Senior Vice President, Ecommerce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2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80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20" w:type="dxa"/>
            <w:vAlign w:val="bottom"/>
            <w:vMerge w:val="restart"/>
          </w:tcPr>
          <w:p>
            <w:pPr>
              <w:jc w:val="center"/>
              <w:ind w:left="130"/>
              <w:spacing w:after="0"/>
              <w:rPr>
                <w:sz w:val="20"/>
                <w:szCs w:val="20"/>
                <w:color w:val="auto"/>
              </w:rPr>
            </w:pPr>
            <w:r>
              <w:rPr>
                <w:rFonts w:ascii="Times New Roman" w:cs="Times New Roman" w:eastAsia="Times New Roman" w:hAnsi="Times New Roman"/>
                <w:sz w:val="16"/>
                <w:szCs w:val="16"/>
                <w:b w:val="1"/>
                <w:bCs w:val="1"/>
                <w:color w:val="auto"/>
                <w:w w:val="99"/>
              </w:rPr>
              <w:t>Rule 10b5-1</w:t>
            </w:r>
          </w:p>
        </w:tc>
        <w:tc>
          <w:tcPr>
            <w:tcW w:w="0" w:type="dxa"/>
            <w:vAlign w:val="bottom"/>
          </w:tcPr>
          <w:p>
            <w:pPr>
              <w:spacing w:after="0"/>
              <w:rPr>
                <w:sz w:val="1"/>
                <w:szCs w:val="1"/>
                <w:color w:val="auto"/>
              </w:rPr>
            </w:pPr>
          </w:p>
        </w:tc>
      </w:tr>
      <w:tr>
        <w:trPr>
          <w:trHeight w:val="212"/>
        </w:trPr>
        <w:tc>
          <w:tcPr>
            <w:tcW w:w="1280" w:type="dxa"/>
            <w:vAlign w:val="bottom"/>
            <w:vMerge w:val="continue"/>
          </w:tcPr>
          <w:p>
            <w:pPr>
              <w:spacing w:after="0"/>
              <w:rPr>
                <w:sz w:val="18"/>
                <w:szCs w:val="18"/>
                <w:color w:val="auto"/>
              </w:rPr>
            </w:pP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Adopted/Terminated</w:t>
            </w: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6/13/2025</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48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32"/>
                <w:szCs w:val="32"/>
                <w:color w:val="auto"/>
                <w:w w:val="85"/>
                <w:vertAlign w:val="subscript"/>
              </w:rPr>
              <w:t>X</w:t>
            </w:r>
            <w:r>
              <w:rPr>
                <w:rFonts w:ascii="Times New Roman" w:cs="Times New Roman" w:eastAsia="Times New Roman" w:hAnsi="Times New Roman"/>
                <w:sz w:val="11"/>
                <w:szCs w:val="11"/>
                <w:color w:val="auto"/>
                <w:w w:val="85"/>
              </w:rPr>
              <w:t>3</w:t>
            </w:r>
          </w:p>
        </w:tc>
        <w:tc>
          <w:tcPr>
            <w:tcW w:w="0" w:type="dxa"/>
            <w:vAlign w:val="bottom"/>
          </w:tcPr>
          <w:p>
            <w:pPr>
              <w:spacing w:after="0"/>
              <w:rPr>
                <w:sz w:val="1"/>
                <w:szCs w:val="1"/>
                <w:color w:val="auto"/>
              </w:rPr>
            </w:pPr>
          </w:p>
        </w:tc>
      </w:tr>
      <w:tr>
        <w:trPr>
          <w:trHeight w:val="419"/>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96"/>
              </w:rPr>
              <w:t>X</w:t>
            </w:r>
            <w:r>
              <w:rPr>
                <w:rFonts w:ascii="Times New Roman" w:cs="Times New Roman" w:eastAsia="Times New Roman" w:hAnsi="Times New Roman"/>
                <w:sz w:val="21"/>
                <w:szCs w:val="21"/>
                <w:color w:val="auto"/>
                <w:w w:val="96"/>
                <w:vertAlign w:val="superscript"/>
              </w:rPr>
              <w:t>3</w:t>
            </w:r>
          </w:p>
        </w:tc>
        <w:tc>
          <w:tcPr>
            <w:tcW w:w="0" w:type="dxa"/>
            <w:vAlign w:val="bottom"/>
          </w:tcPr>
          <w:p>
            <w:pPr>
              <w:spacing w:after="0"/>
              <w:rPr>
                <w:sz w:val="1"/>
                <w:szCs w:val="1"/>
                <w:color w:val="auto"/>
              </w:rPr>
            </w:pPr>
          </w:p>
        </w:tc>
      </w:tr>
      <w:tr>
        <w:trPr>
          <w:trHeight w:val="427"/>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32"/>
                <w:szCs w:val="32"/>
                <w:color w:val="auto"/>
                <w:w w:val="85"/>
                <w:vertAlign w:val="subscript"/>
              </w:rPr>
              <w:t>X</w:t>
            </w:r>
            <w:r>
              <w:rPr>
                <w:rFonts w:ascii="Times New Roman" w:cs="Times New Roman" w:eastAsia="Times New Roman" w:hAnsi="Times New Roman"/>
                <w:sz w:val="11"/>
                <w:szCs w:val="11"/>
                <w:color w:val="auto"/>
                <w:w w:val="85"/>
              </w:rPr>
              <w:t>3</w:t>
            </w:r>
          </w:p>
        </w:tc>
        <w:tc>
          <w:tcPr>
            <w:tcW w:w="0" w:type="dxa"/>
            <w:vAlign w:val="bottom"/>
          </w:tcPr>
          <w:p>
            <w:pPr>
              <w:spacing w:after="0"/>
              <w:rPr>
                <w:sz w:val="1"/>
                <w:szCs w:val="1"/>
                <w:color w:val="auto"/>
              </w:rPr>
            </w:pPr>
          </w:p>
        </w:tc>
      </w:tr>
      <w:tr>
        <w:trPr>
          <w:trHeight w:val="4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96"/>
              </w:rPr>
              <w:t>X</w:t>
            </w:r>
            <w:r>
              <w:rPr>
                <w:rFonts w:ascii="Times New Roman" w:cs="Times New Roman" w:eastAsia="Times New Roman" w:hAnsi="Times New Roman"/>
                <w:sz w:val="21"/>
                <w:szCs w:val="21"/>
                <w:color w:val="auto"/>
                <w:w w:val="96"/>
                <w:vertAlign w:val="superscript"/>
              </w:rPr>
              <w:t>3</w:t>
            </w:r>
          </w:p>
        </w:tc>
        <w:tc>
          <w:tcPr>
            <w:tcW w:w="0" w:type="dxa"/>
            <w:vAlign w:val="bottom"/>
          </w:tcPr>
          <w:p>
            <w:pPr>
              <w:spacing w:after="0"/>
              <w:rPr>
                <w:sz w:val="1"/>
                <w:szCs w:val="1"/>
                <w:color w:val="auto"/>
              </w:rPr>
            </w:pPr>
          </w:p>
        </w:tc>
      </w:tr>
      <w:tr>
        <w:trPr>
          <w:trHeight w:val="418"/>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96"/>
              </w:rPr>
              <w:t>X</w:t>
            </w:r>
            <w:r>
              <w:rPr>
                <w:rFonts w:ascii="Times New Roman" w:cs="Times New Roman" w:eastAsia="Times New Roman" w:hAnsi="Times New Roman"/>
                <w:sz w:val="21"/>
                <w:szCs w:val="21"/>
                <w:color w:val="auto"/>
                <w:w w:val="96"/>
                <w:vertAlign w:val="superscript"/>
              </w:rPr>
              <w:t>3</w:t>
            </w:r>
          </w:p>
        </w:tc>
        <w:tc>
          <w:tcPr>
            <w:tcW w:w="0" w:type="dxa"/>
            <w:vAlign w:val="bottom"/>
          </w:tcPr>
          <w:p>
            <w:pPr>
              <w:spacing w:after="0"/>
              <w:rPr>
                <w:sz w:val="1"/>
                <w:szCs w:val="1"/>
                <w:color w:val="auto"/>
              </w:rPr>
            </w:pPr>
          </w:p>
        </w:tc>
      </w:tr>
      <w:tr>
        <w:trPr>
          <w:trHeight w:val="427"/>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32"/>
                <w:szCs w:val="32"/>
                <w:color w:val="auto"/>
                <w:w w:val="85"/>
                <w:vertAlign w:val="subscript"/>
              </w:rPr>
              <w:t>X</w:t>
            </w:r>
            <w:r>
              <w:rPr>
                <w:rFonts w:ascii="Times New Roman" w:cs="Times New Roman" w:eastAsia="Times New Roman" w:hAnsi="Times New Roman"/>
                <w:sz w:val="11"/>
                <w:szCs w:val="11"/>
                <w:color w:val="auto"/>
                <w:w w:val="85"/>
              </w:rPr>
              <w:t>3</w:t>
            </w:r>
          </w:p>
        </w:tc>
        <w:tc>
          <w:tcPr>
            <w:tcW w:w="0" w:type="dxa"/>
            <w:vAlign w:val="bottom"/>
          </w:tcPr>
          <w:p>
            <w:pPr>
              <w:spacing w:after="0"/>
              <w:rPr>
                <w:sz w:val="1"/>
                <w:szCs w:val="1"/>
                <w:color w:val="auto"/>
              </w:rPr>
            </w:pPr>
          </w:p>
        </w:tc>
      </w:tr>
      <w:tr>
        <w:trPr>
          <w:trHeight w:val="41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96"/>
              </w:rPr>
              <w:t>X</w:t>
            </w:r>
            <w:r>
              <w:rPr>
                <w:rFonts w:ascii="Times New Roman" w:cs="Times New Roman" w:eastAsia="Times New Roman" w:hAnsi="Times New Roman"/>
                <w:sz w:val="21"/>
                <w:szCs w:val="21"/>
                <w:color w:val="auto"/>
                <w:w w:val="96"/>
                <w:vertAlign w:val="superscript"/>
              </w:rPr>
              <w:t>3</w:t>
            </w:r>
          </w:p>
        </w:tc>
        <w:tc>
          <w:tcPr>
            <w:tcW w:w="0" w:type="dxa"/>
            <w:vAlign w:val="bottom"/>
          </w:tcPr>
          <w:p>
            <w:pPr>
              <w:spacing w:after="0"/>
              <w:rPr>
                <w:sz w:val="1"/>
                <w:szCs w:val="1"/>
                <w:color w:val="auto"/>
              </w:rPr>
            </w:pPr>
          </w:p>
        </w:tc>
      </w:tr>
      <w:tr>
        <w:trPr>
          <w:trHeight w:val="38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5/20/2025</w:t>
            </w:r>
            <w:r>
              <w:rPr>
                <w:rFonts w:ascii="Times New Roman" w:cs="Times New Roman" w:eastAsia="Times New Roman" w:hAnsi="Times New Roman"/>
                <w:sz w:val="21"/>
                <w:szCs w:val="21"/>
                <w:color w:val="auto"/>
                <w:vertAlign w:val="superscript"/>
              </w:rPr>
              <w:t>4</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418"/>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32"/>
                <w:szCs w:val="32"/>
                <w:color w:val="auto"/>
                <w:w w:val="85"/>
                <w:vertAlign w:val="subscript"/>
              </w:rPr>
              <w:t>X</w:t>
            </w:r>
            <w:r>
              <w:rPr>
                <w:rFonts w:ascii="Times New Roman" w:cs="Times New Roman" w:eastAsia="Times New Roman" w:hAnsi="Times New Roman"/>
                <w:sz w:val="11"/>
                <w:szCs w:val="11"/>
                <w:color w:val="auto"/>
                <w:w w:val="85"/>
              </w:rPr>
              <w:t>3</w:t>
            </w:r>
          </w:p>
        </w:tc>
        <w:tc>
          <w:tcPr>
            <w:tcW w:w="0" w:type="dxa"/>
            <w:vAlign w:val="bottom"/>
          </w:tcPr>
          <w:p>
            <w:pPr>
              <w:spacing w:after="0"/>
              <w:rPr>
                <w:sz w:val="1"/>
                <w:szCs w:val="1"/>
                <w:color w:val="auto"/>
              </w:rPr>
            </w:pPr>
          </w:p>
        </w:tc>
      </w:tr>
      <w:tr>
        <w:trPr>
          <w:trHeight w:val="243"/>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96"/>
              </w:rPr>
              <w:t>X</w:t>
            </w:r>
            <w:r>
              <w:rPr>
                <w:rFonts w:ascii="Times New Roman" w:cs="Times New Roman" w:eastAsia="Times New Roman" w:hAnsi="Times New Roman"/>
                <w:sz w:val="21"/>
                <w:szCs w:val="21"/>
                <w:color w:val="auto"/>
                <w:w w:val="96"/>
                <w:vertAlign w:val="superscript"/>
              </w:rPr>
              <w:t>3</w:t>
            </w:r>
          </w:p>
        </w:tc>
        <w:tc>
          <w:tcPr>
            <w:tcW w:w="0" w:type="dxa"/>
            <w:vAlign w:val="bottom"/>
          </w:tcPr>
          <w:p>
            <w:pPr>
              <w:spacing w:after="0"/>
              <w:rPr>
                <w:sz w:val="1"/>
                <w:szCs w:val="1"/>
                <w:color w:val="auto"/>
              </w:rPr>
            </w:pPr>
          </w:p>
        </w:tc>
      </w:tr>
      <w:tr>
        <w:trPr>
          <w:trHeight w:val="281"/>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96"/>
              </w:rPr>
              <w:t>X</w:t>
            </w:r>
            <w:r>
              <w:rPr>
                <w:rFonts w:ascii="Times New Roman" w:cs="Times New Roman" w:eastAsia="Times New Roman" w:hAnsi="Times New Roman"/>
                <w:sz w:val="21"/>
                <w:szCs w:val="21"/>
                <w:color w:val="auto"/>
                <w:w w:val="96"/>
                <w:vertAlign w:val="superscript"/>
              </w:rPr>
              <w:t>3</w:t>
            </w:r>
          </w:p>
        </w:tc>
        <w:tc>
          <w:tcPr>
            <w:tcW w:w="0" w:type="dxa"/>
            <w:vAlign w:val="bottom"/>
          </w:tcPr>
          <w:p>
            <w:pPr>
              <w:spacing w:after="0"/>
              <w:rPr>
                <w:sz w:val="1"/>
                <w:szCs w:val="1"/>
                <w:color w:val="auto"/>
              </w:rPr>
            </w:pPr>
          </w:p>
        </w:tc>
      </w:tr>
      <w:tr>
        <w:trPr>
          <w:trHeight w:val="427"/>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32"/>
                <w:szCs w:val="32"/>
                <w:color w:val="auto"/>
                <w:w w:val="85"/>
                <w:vertAlign w:val="subscript"/>
              </w:rPr>
              <w:t>X</w:t>
            </w:r>
            <w:r>
              <w:rPr>
                <w:rFonts w:ascii="Times New Roman" w:cs="Times New Roman" w:eastAsia="Times New Roman" w:hAnsi="Times New Roman"/>
                <w:sz w:val="11"/>
                <w:szCs w:val="11"/>
                <w:color w:val="auto"/>
                <w:w w:val="85"/>
              </w:rPr>
              <w:t>3</w:t>
            </w:r>
          </w:p>
        </w:tc>
        <w:tc>
          <w:tcPr>
            <w:tcW w:w="0" w:type="dxa"/>
            <w:vAlign w:val="bottom"/>
          </w:tcPr>
          <w:p>
            <w:pPr>
              <w:spacing w:after="0"/>
              <w:rPr>
                <w:sz w:val="1"/>
                <w:szCs w:val="1"/>
                <w:color w:val="auto"/>
              </w:rPr>
            </w:pPr>
          </w:p>
        </w:tc>
      </w:tr>
      <w:tr>
        <w:trPr>
          <w:trHeight w:val="372"/>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5/20/2025</w:t>
            </w:r>
            <w:r>
              <w:rPr>
                <w:rFonts w:ascii="Times New Roman" w:cs="Times New Roman" w:eastAsia="Times New Roman" w:hAnsi="Times New Roman"/>
                <w:sz w:val="21"/>
                <w:szCs w:val="21"/>
                <w:color w:val="auto"/>
                <w:vertAlign w:val="superscript"/>
              </w:rPr>
              <w:t>5</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427"/>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Adopted</w:t>
            </w:r>
          </w:p>
        </w:tc>
        <w:tc>
          <w:tcPr>
            <w:tcW w:w="1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5/29/2025</w:t>
            </w:r>
            <w:r>
              <w:rPr>
                <w:rFonts w:ascii="Times New Roman" w:cs="Times New Roman" w:eastAsia="Times New Roman" w:hAnsi="Times New Roman"/>
                <w:sz w:val="21"/>
                <w:szCs w:val="21"/>
                <w:color w:val="auto"/>
                <w:vertAlign w:val="superscript"/>
              </w:rPr>
              <w:t>3</w:t>
            </w: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32"/>
                <w:szCs w:val="32"/>
                <w:color w:val="auto"/>
                <w:w w:val="85"/>
                <w:vertAlign w:val="subscript"/>
              </w:rPr>
              <w:t>X</w:t>
            </w:r>
            <w:r>
              <w:rPr>
                <w:rFonts w:ascii="Times New Roman" w:cs="Times New Roman" w:eastAsia="Times New Roman" w:hAnsi="Times New Roman"/>
                <w:sz w:val="11"/>
                <w:szCs w:val="11"/>
                <w:color w:val="auto"/>
                <w:w w:val="85"/>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-3768090</wp:posOffset>
            </wp:positionV>
            <wp:extent cx="6866255"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66255" cy="26543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-3236595</wp:posOffset>
            </wp:positionV>
            <wp:extent cx="6866255"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66255" cy="26543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-2705100</wp:posOffset>
            </wp:positionV>
            <wp:extent cx="6866255" cy="266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66255" cy="2660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-2173605</wp:posOffset>
            </wp:positionV>
            <wp:extent cx="6866255"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66255" cy="26543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-1642110</wp:posOffset>
            </wp:positionV>
            <wp:extent cx="6866255"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66255" cy="26543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-1221740</wp:posOffset>
            </wp:positionV>
            <wp:extent cx="6866255"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66255" cy="26543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-802005</wp:posOffset>
            </wp:positionV>
            <wp:extent cx="6866255"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66255" cy="26543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-270510</wp:posOffset>
            </wp:positionV>
            <wp:extent cx="686625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6625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Shares to be</w:t>
            </w:r>
          </w:p>
        </w:tc>
        <w:tc>
          <w:tcPr>
            <w:tcW w:w="160" w:type="dxa"/>
            <w:vAlign w:val="bottom"/>
          </w:tcPr>
          <w:p>
            <w:pPr>
              <w:spacing w:after="0"/>
              <w:rPr>
                <w:sz w:val="16"/>
                <w:szCs w:val="16"/>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70"/>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Sold</w:t>
            </w:r>
          </w:p>
        </w:tc>
        <w:tc>
          <w:tcPr>
            <w:tcW w:w="16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tcPr>
          <w:p>
            <w:pPr>
              <w:spacing w:after="0"/>
              <w:rPr>
                <w:sz w:val="21"/>
                <w:szCs w:val="21"/>
                <w:color w:val="auto"/>
              </w:rPr>
            </w:pP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03/26/2026</w:t>
            </w:r>
          </w:p>
        </w:tc>
        <w:tc>
          <w:tcPr>
            <w:tcW w:w="0" w:type="dxa"/>
            <w:vAlign w:val="bottom"/>
          </w:tcPr>
          <w:p>
            <w:pPr>
              <w:spacing w:after="0"/>
              <w:rPr>
                <w:sz w:val="1"/>
                <w:szCs w:val="1"/>
                <w:color w:val="auto"/>
              </w:rPr>
            </w:pPr>
          </w:p>
        </w:tc>
      </w:tr>
      <w:tr>
        <w:trPr>
          <w:trHeight w:val="97"/>
        </w:trPr>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1"/>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9"/>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516"/>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20,000</w:t>
            </w:r>
          </w:p>
        </w:tc>
        <w:tc>
          <w:tcPr>
            <w:tcW w:w="160" w:type="dxa"/>
            <w:vAlign w:val="bottom"/>
          </w:tcPr>
          <w:p>
            <w:pPr>
              <w:spacing w:after="0"/>
              <w:rPr>
                <w:sz w:val="24"/>
                <w:szCs w:val="24"/>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8"/>
              </w:rPr>
              <w:t>12/31/2025</w:t>
            </w:r>
          </w:p>
        </w:tc>
        <w:tc>
          <w:tcPr>
            <w:tcW w:w="0" w:type="dxa"/>
            <w:vAlign w:val="bottom"/>
          </w:tcPr>
          <w:p>
            <w:pPr>
              <w:spacing w:after="0"/>
              <w:rPr>
                <w:sz w:val="1"/>
                <w:szCs w:val="1"/>
                <w:color w:val="auto"/>
              </w:rPr>
            </w:pPr>
          </w:p>
        </w:tc>
      </w:tr>
      <w:tr>
        <w:trPr>
          <w:trHeight w:val="146"/>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2"/>
                <w:szCs w:val="12"/>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9"/>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43"/>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1"/>
                <w:szCs w:val="21"/>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418"/>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516"/>
        </w:trPr>
        <w:tc>
          <w:tcPr>
            <w:tcW w:w="12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971,000</w:t>
            </w: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5</w:t>
            </w:r>
          </w:p>
        </w:tc>
        <w:tc>
          <w:tcPr>
            <w:tcW w:w="134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8"/>
              </w:rPr>
              <w:t>2/20/2026</w:t>
            </w:r>
          </w:p>
        </w:tc>
        <w:tc>
          <w:tcPr>
            <w:tcW w:w="0" w:type="dxa"/>
            <w:vAlign w:val="bottom"/>
          </w:tcPr>
          <w:p>
            <w:pPr>
              <w:spacing w:after="0"/>
              <w:rPr>
                <w:sz w:val="1"/>
                <w:szCs w:val="1"/>
                <w:color w:val="auto"/>
              </w:rPr>
            </w:pPr>
          </w:p>
        </w:tc>
      </w:tr>
      <w:tr>
        <w:trPr>
          <w:trHeight w:val="146"/>
        </w:trPr>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2"/>
                <w:szCs w:val="12"/>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bl>
    <w:p>
      <w:pPr>
        <w:spacing w:after="0" w:line="449" w:lineRule="exact"/>
        <w:rPr>
          <w:sz w:val="20"/>
          <w:szCs w:val="20"/>
          <w:color w:val="auto"/>
        </w:rPr>
      </w:pPr>
    </w:p>
    <w:p>
      <w:pPr>
        <w:sectPr>
          <w:pgSz w:w="11900" w:h="16838" w:orient="portrait"/>
          <w:cols w:equalWidth="0" w:num="3">
            <w:col w:w="3320" w:space="180"/>
            <w:col w:w="4100" w:space="440"/>
            <w:col w:w="3200"/>
          </w:cols>
          <w:pgMar w:left="320" w:top="164" w:right="339" w:bottom="1440" w:gutter="0" w:footer="0" w:header="0"/>
          <w:type w:val="continuous"/>
        </w:sectPr>
      </w:pPr>
    </w:p>
    <w:p>
      <w:pPr>
        <w:ind w:firstLine="8"/>
        <w:spacing w:after="0" w:line="229" w:lineRule="auto"/>
        <w:tabs>
          <w:tab w:leader="none" w:pos="10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Each plan terminates on the earlier of: (i) the expiration date listed in the table above, (ii) the first date on which all trades set forth in the plan have been executed, or (iii) such date the plan is otherwise terminated according to its terms.</w:t>
      </w:r>
    </w:p>
    <w:p>
      <w:pPr>
        <w:jc w:val="both"/>
        <w:spacing w:after="0" w:line="23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Mr. Cho’s and his spouse's joint 10b5-1 plan provides for the sale of up to 53,893 shares of Class A common stock and 67,898 shares of Class A common stock, respectively, plus the sale of net shares of Class A common stock that Mr. Cho and his wife will receive from the vesting and settlement of up to 41,667 performance restricted stock units (“PSUs”) and 20,834 PSUs, respectively, granted prior to the adoption of their current Rule 10b5-1 plan, plus the sale of net shares of Class A common stock that Mr. Cho and his spouse will receive from the vesting and settlement of 41,248 restricted stock units (“RSUs”) and 20,624 RSUs, respectively, granted prior to the adoption of their current Rule 10b5-1 plan, until the plan’s end date on March 26, 2026. Mr. Cho’s and his spouse's 10b5-1 plan was adopted on the date set forth in the table and has an effective date of September 12, 2025.</w:t>
      </w:r>
    </w:p>
    <w:p>
      <w:pPr>
        <w:spacing w:after="0" w:line="2" w:lineRule="exact"/>
        <w:rPr>
          <w:rFonts w:ascii="Times New Roman" w:cs="Times New Roman" w:eastAsia="Times New Roman" w:hAnsi="Times New Roman"/>
          <w:sz w:val="23"/>
          <w:szCs w:val="23"/>
          <w:color w:val="auto"/>
          <w:vertAlign w:val="superscript"/>
        </w:rPr>
      </w:pPr>
    </w:p>
    <w:p>
      <w:pPr>
        <w:jc w:val="both"/>
        <w:spacing w:after="0" w:line="23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Each officer received an award of PSUs and RSUs subject to mandatory Rule 10b5-1 trading arrangement for “sell-to-cover” transactions (the “sell-to-cover 10b5-1 arrangement”). Each PSU and RSU provides for the non-discretionary, automatic sale of shares of Class A Common stock that would otherwise be issuable on each settlement date of a covered PSU and RSU in an amount sufficient to satisfy the applicable tax withholding obligation. The number of shares of Class A common stock that will be sold to satisfy applicable tax withholding obligations upon vesting will vary depending on whether vesting conditions are satisfied and the market price of our Class A common stock at the time of settlement. The expiration date of each sell-to-cover 10b5-</w:t>
      </w:r>
    </w:p>
    <w:p>
      <w:pPr>
        <w:spacing w:after="0" w:line="1" w:lineRule="exact"/>
        <w:rPr>
          <w:rFonts w:ascii="Times New Roman" w:cs="Times New Roman" w:eastAsia="Times New Roman" w:hAnsi="Times New Roman"/>
          <w:sz w:val="23"/>
          <w:szCs w:val="23"/>
          <w:color w:val="auto"/>
          <w:vertAlign w:val="superscript"/>
        </w:rPr>
      </w:pPr>
    </w:p>
    <w:p>
      <w:pPr>
        <w:ind w:left="140" w:hanging="132"/>
        <w:spacing w:after="0"/>
        <w:tabs>
          <w:tab w:leader="none" w:pos="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 is the final settlement of any covered PSUs and RSUs.</w:t>
      </w:r>
    </w:p>
    <w:p>
      <w:pPr>
        <w:ind w:left="120" w:hanging="112"/>
        <w:spacing w:after="0" w:line="196" w:lineRule="auto"/>
        <w:tabs>
          <w:tab w:leader="none" w:pos="1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Leyden’s 10b5-1 plan was adopted on the date set forth in the table and has an effective date of August 19, 2025.</w:t>
      </w:r>
    </w:p>
    <w:p>
      <w:pPr>
        <w:ind w:firstLine="8"/>
        <w:spacing w:after="0" w:line="224" w:lineRule="auto"/>
        <w:tabs>
          <w:tab w:leader="none" w:pos="114"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Teaster’s 10b5-1 plan provides for the sale of up to 169,000 shares of Class A common stock, plus the sale of net shares of Class A common upon exercise of up to 802,000 outstanding options. The plan was adopted on the date set forth in the table and has an effective date of August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1714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FFFFFF"/>
        </w:rPr>
        <w:t>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4"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6"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60" w:type="dxa"/>
            <w:vAlign w:val="bottom"/>
            <w:gridSpan w:val="12"/>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2"/>
        </w:trPr>
        <w:tc>
          <w:tcPr>
            <w:tcW w:w="102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60" w:type="dxa"/>
            <w:vAlign w:val="bottom"/>
            <w:gridSpan w:val="1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3.1</w:t>
            </w:r>
          </w:p>
        </w:tc>
        <w:tc>
          <w:tcPr>
            <w:tcW w:w="10100" w:type="dxa"/>
            <w:vAlign w:val="bottom"/>
            <w:gridSpan w:val="17"/>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Amended and Restated Certificate of Incorporation of Getty Images Holdings, Inc. (incorporated by reference to Exhibit 3.1 to the Company’s Form 8-K,</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filed with the SEC on June 18, 2024)</w:t>
              </w:r>
            </w:hyperlink>
          </w:p>
        </w:tc>
        <w:tc>
          <w:tcPr>
            <w:tcW w:w="762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3.2</w:t>
            </w:r>
          </w:p>
        </w:tc>
        <w:tc>
          <w:tcPr>
            <w:tcW w:w="10100" w:type="dxa"/>
            <w:vAlign w:val="bottom"/>
            <w:gridSpan w:val="17"/>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Amended and Restated By-Laws of Getty Images Holdings, Inc. (incorporated by reference to Exhibit 3.1 to the Company’s Form 8-K, filed with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w w:val="99"/>
              </w:rPr>
            </w:pPr>
            <w:hyperlink r:id="rId68">
              <w:r>
                <w:rPr>
                  <w:rFonts w:ascii="Times New Roman" w:cs="Times New Roman" w:eastAsia="Times New Roman" w:hAnsi="Times New Roman"/>
                  <w:sz w:val="16"/>
                  <w:szCs w:val="16"/>
                  <w:color w:val="0000FF"/>
                  <w:w w:val="99"/>
                </w:rPr>
                <w:t>SEC on June 18, 2024)</w:t>
              </w:r>
            </w:hyperlink>
          </w:p>
        </w:tc>
        <w:tc>
          <w:tcPr>
            <w:tcW w:w="856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4.1</w:t>
            </w:r>
          </w:p>
        </w:tc>
        <w:tc>
          <w:tcPr>
            <w:tcW w:w="988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Indenture, dated as of May 5, 2025, by and among Getty Images, Inc., the guarantors party thereto and U.S. Bank Trust Company, National Association,</w:t>
              </w:r>
            </w:hyperlink>
          </w:p>
        </w:tc>
        <w:tc>
          <w:tcPr>
            <w:tcW w:w="22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926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as trustee and notes collateral agent (incorporated by reference to Exhibit 4.1 of the Company’s Form 8-K, filed with the SEC on May 6, 2025)</w:t>
              </w:r>
            </w:hyperlink>
          </w:p>
        </w:tc>
        <w:tc>
          <w:tcPr>
            <w:tcW w:w="8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4.2</w:t>
            </w:r>
          </w:p>
        </w:tc>
        <w:tc>
          <w:tcPr>
            <w:tcW w:w="10100" w:type="dxa"/>
            <w:vAlign w:val="bottom"/>
            <w:gridSpan w:val="17"/>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Form of 11.250% Senior Secured Notes due 2030 included as Exhibit A to Exhibit 4.1 (incorporated by reference to Exhibit 4.2 of the Company’s Form</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00" w:type="dxa"/>
            <w:vAlign w:val="bottom"/>
            <w:tcBorders>
              <w:top w:val="single" w:sz="8" w:color="0000FF"/>
            </w:tcBorders>
            <w:gridSpan w:val="12"/>
          </w:tcPr>
          <w:p>
            <w:pPr>
              <w:spacing w:after="0" w:line="169"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8-K, filed with the SEC on May 6, 2025)</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4.3</w:t>
            </w:r>
          </w:p>
        </w:tc>
        <w:tc>
          <w:tcPr>
            <w:tcW w:w="10100" w:type="dxa"/>
            <w:vAlign w:val="bottom"/>
            <w:gridSpan w:val="17"/>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First Lien Intercreditor Agreement, dated as of May 5, 2025, among the Issuer, Abe Investment Holdings, Inc., Griffey Midco (DE), LLC, certain</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subsidiaries of the Issuer, JPMorgan Chase Bank, N.A., as credit agreement representative and credit agreement collateral agent, and U.S. Bank Trust</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100" w:type="dxa"/>
            <w:vAlign w:val="bottom"/>
            <w:gridSpan w:val="17"/>
          </w:tcPr>
          <w:p>
            <w:pPr>
              <w:spacing w:after="0" w:line="169"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Company, National Association, as trustee and notes collateral agent (incorporated by reference to Exhibit 4.3 of the Company’s Form 8-K, filed with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6"/>
                <w:szCs w:val="16"/>
                <w:color w:val="0000FF"/>
                <w:w w:val="99"/>
              </w:rPr>
            </w:pPr>
            <w:hyperlink r:id="rId71">
              <w:r>
                <w:rPr>
                  <w:rFonts w:ascii="Times New Roman" w:cs="Times New Roman" w:eastAsia="Times New Roman" w:hAnsi="Times New Roman"/>
                  <w:sz w:val="16"/>
                  <w:szCs w:val="16"/>
                  <w:color w:val="0000FF"/>
                  <w:w w:val="99"/>
                </w:rPr>
                <w:t>SEC on May 6, 2025)</w:t>
              </w:r>
            </w:hyperlink>
          </w:p>
        </w:tc>
        <w:tc>
          <w:tcPr>
            <w:tcW w:w="8560" w:type="dxa"/>
            <w:vAlign w:val="bottom"/>
            <w:tcBorders>
              <w:top w:val="single" w:sz="8" w:color="0000FF"/>
            </w:tcBorders>
            <w:gridSpan w:val="9"/>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31.1*</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Exchange Act Rules 13a-14(a) and 15d-14(a), as adopted pursuant to Section 302 of the Sarbanes-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8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6"/>
                <w:szCs w:val="16"/>
                <w:color w:val="0000FF"/>
              </w:rPr>
              <w:t>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3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31.2*</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Exchange Act Rules 13a-14(a) and 15d-14(a), as adopted pursuant to Section 302 of the Sarbanes-</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996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Oxley Act of 2002</w:t>
            </w: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3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32.1**</w:t>
            </w:r>
          </w:p>
        </w:tc>
        <w:tc>
          <w:tcPr>
            <w:tcW w:w="9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 2002</w:t>
            </w:r>
          </w:p>
        </w:tc>
        <w:tc>
          <w:tcPr>
            <w:tcW w:w="3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32.2**</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520" w:type="dxa"/>
            <w:vAlign w:val="bottom"/>
            <w:gridSpan w:val="7"/>
            <w:shd w:val="clear" w:color="auto" w:fill="0000FF"/>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230"/>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4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101.CAL*</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101.LAB*</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0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104*</w:t>
            </w:r>
          </w:p>
        </w:tc>
        <w:tc>
          <w:tcPr>
            <w:tcW w:w="101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August 11, 2025.</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560"/>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Peters</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Peters</w:t>
            </w:r>
          </w:p>
        </w:tc>
      </w:tr>
      <w:tr>
        <w:trPr>
          <w:trHeight w:val="257"/>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53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Leyden</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Leyden</w:t>
            </w:r>
          </w:p>
        </w:tc>
      </w:tr>
      <w:tr>
        <w:trPr>
          <w:trHeight w:val="257"/>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53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Hoel</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Hoel</w:t>
            </w:r>
          </w:p>
        </w:tc>
      </w:tr>
      <w:tr>
        <w:trPr>
          <w:trHeight w:val="257"/>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57"/>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r>
      <w:tr>
        <w:trPr>
          <w:trHeight w:val="9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760" w:type="dxa"/>
            <w:vAlign w:val="bottom"/>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Peters, certify that:</w:t>
      </w:r>
    </w:p>
    <w:p>
      <w:pPr>
        <w:spacing w:after="0" w:line="18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Getty Images Holdings, Inc., for the quarter ended June 30, 2025;</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316" w:val="left"/>
        </w:tabs>
        <w:numPr>
          <w:ilvl w:val="1"/>
          <w:numId w:val="26"/>
        </w:numPr>
        <w:rPr>
          <w:rFonts w:ascii="Arial" w:cs="Arial" w:eastAsia="Arial" w:hAnsi="Arial"/>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20"/>
          <w:szCs w:val="20"/>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Craig Peters</w:t>
            </w:r>
          </w:p>
        </w:tc>
      </w:tr>
      <w:tr>
        <w:trPr>
          <w:trHeight w:val="27"/>
        </w:trPr>
        <w:tc>
          <w:tcPr>
            <w:tcW w:w="3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640" w:type="dxa"/>
            <w:vAlign w:val="bottom"/>
          </w:tcPr>
          <w:p>
            <w:pPr>
              <w:spacing w:after="0"/>
              <w:rPr>
                <w:sz w:val="21"/>
                <w:szCs w:val="21"/>
                <w:color w:val="auto"/>
              </w:rPr>
            </w:pP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Peters</w:t>
            </w:r>
          </w:p>
        </w:tc>
      </w:tr>
      <w:tr>
        <w:trPr>
          <w:trHeight w:val="283"/>
        </w:trPr>
        <w:tc>
          <w:tcPr>
            <w:tcW w:w="3640" w:type="dxa"/>
            <w:vAlign w:val="bottom"/>
          </w:tcPr>
          <w:p>
            <w:pPr>
              <w:spacing w:after="0"/>
              <w:rPr>
                <w:sz w:val="24"/>
                <w:szCs w:val="24"/>
                <w:color w:val="auto"/>
              </w:rPr>
            </w:pP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83"/>
        </w:trPr>
        <w:tc>
          <w:tcPr>
            <w:tcW w:w="3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Leyden, certify that:</w:t>
      </w:r>
    </w:p>
    <w:p>
      <w:pPr>
        <w:spacing w:after="0" w:line="18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Getty Images Holdings, Inc., for the quarter ended June 30, 2025;</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Jennifer Leyden</w:t>
            </w:r>
          </w:p>
        </w:tc>
      </w:tr>
      <w:tr>
        <w:trPr>
          <w:trHeight w:val="27"/>
        </w:trPr>
        <w:tc>
          <w:tcPr>
            <w:tcW w:w="3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640" w:type="dxa"/>
            <w:vAlign w:val="bottom"/>
          </w:tcPr>
          <w:p>
            <w:pPr>
              <w:spacing w:after="0"/>
              <w:rPr>
                <w:sz w:val="21"/>
                <w:szCs w:val="21"/>
                <w:color w:val="auto"/>
              </w:rPr>
            </w:pP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Jennifer Leyden</w:t>
            </w:r>
          </w:p>
        </w:tc>
      </w:tr>
      <w:tr>
        <w:trPr>
          <w:trHeight w:val="283"/>
        </w:trPr>
        <w:tc>
          <w:tcPr>
            <w:tcW w:w="3640" w:type="dxa"/>
            <w:vAlign w:val="bottom"/>
          </w:tcPr>
          <w:p>
            <w:pPr>
              <w:spacing w:after="0"/>
              <w:rPr>
                <w:sz w:val="24"/>
                <w:szCs w:val="24"/>
                <w:color w:val="auto"/>
              </w:rPr>
            </w:pP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84"/>
        </w:trPr>
        <w:tc>
          <w:tcPr>
            <w:tcW w:w="3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10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Getty Images Holdings, Inc. (the “Company”), for the quarter ended June 30, 2025, as filed with the Securities and Exchange Commission on the date hereof (the “Report”), I, Craig Peters, Chief Executive Officer of the Company, certify pursuant to 18 U.S.C. Section 1350, as adopted pursuant to Section 906 of the Sarbanes-Oxley Act of 2002, that, to the best of my knowledge:</w:t>
      </w:r>
    </w:p>
    <w:p>
      <w:pPr>
        <w:spacing w:after="0" w:line="13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Craig Peters</w:t>
            </w:r>
          </w:p>
        </w:tc>
      </w:tr>
      <w:tr>
        <w:trPr>
          <w:trHeight w:val="27"/>
        </w:trPr>
        <w:tc>
          <w:tcPr>
            <w:tcW w:w="3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640" w:type="dxa"/>
            <w:vAlign w:val="bottom"/>
          </w:tcPr>
          <w:p>
            <w:pPr>
              <w:spacing w:after="0"/>
              <w:rPr>
                <w:sz w:val="21"/>
                <w:szCs w:val="21"/>
                <w:color w:val="auto"/>
              </w:rPr>
            </w:pP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Peters</w:t>
            </w:r>
          </w:p>
        </w:tc>
      </w:tr>
      <w:tr>
        <w:trPr>
          <w:trHeight w:val="283"/>
        </w:trPr>
        <w:tc>
          <w:tcPr>
            <w:tcW w:w="3640" w:type="dxa"/>
            <w:vAlign w:val="bottom"/>
          </w:tcPr>
          <w:p>
            <w:pPr>
              <w:spacing w:after="0"/>
              <w:rPr>
                <w:sz w:val="24"/>
                <w:szCs w:val="24"/>
                <w:color w:val="auto"/>
              </w:rPr>
            </w:pPr>
          </w:p>
        </w:tc>
        <w:tc>
          <w:tcPr>
            <w:tcW w:w="28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83"/>
        </w:trPr>
        <w:tc>
          <w:tcPr>
            <w:tcW w:w="3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Getty Images Holdings, Inc. (the “Company”), for the quarter ended June 30, 2025, as filed with the Securities and Exchange Commission on the date hereof (the “Report”), I, Jennifer Leyden, Chief Financial Officer of the Company, certify pursuant to 18 U.S.C. Section 1350, as adopted pursuant to Section 906 of the Sarbanes-Oxley Act of 2002, that, to the best of my knowledge:</w:t>
      </w:r>
    </w:p>
    <w:p>
      <w:pPr>
        <w:spacing w:after="0" w:line="13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9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Jennifer Leyden</w:t>
            </w:r>
          </w:p>
        </w:tc>
      </w:tr>
      <w:tr>
        <w:trPr>
          <w:trHeight w:val="27"/>
        </w:trPr>
        <w:tc>
          <w:tcPr>
            <w:tcW w:w="3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50"/>
        </w:trPr>
        <w:tc>
          <w:tcPr>
            <w:tcW w:w="3780" w:type="dxa"/>
            <w:vAlign w:val="bottom"/>
          </w:tcPr>
          <w:p>
            <w:pPr>
              <w:spacing w:after="0"/>
              <w:rPr>
                <w:sz w:val="21"/>
                <w:szCs w:val="21"/>
                <w:color w:val="auto"/>
              </w:rPr>
            </w:pPr>
          </w:p>
        </w:tc>
        <w:tc>
          <w:tcPr>
            <w:tcW w:w="29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Leyden</w:t>
            </w:r>
          </w:p>
        </w:tc>
      </w:tr>
      <w:tr>
        <w:trPr>
          <w:trHeight w:val="283"/>
        </w:trPr>
        <w:tc>
          <w:tcPr>
            <w:tcW w:w="3780" w:type="dxa"/>
            <w:vAlign w:val="bottom"/>
          </w:tcPr>
          <w:p>
            <w:pPr>
              <w:spacing w:after="0"/>
              <w:rPr>
                <w:sz w:val="24"/>
                <w:szCs w:val="24"/>
                <w:color w:val="auto"/>
              </w:rPr>
            </w:pPr>
          </w:p>
        </w:tc>
        <w:tc>
          <w:tcPr>
            <w:tcW w:w="29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3"/>
        </w:trPr>
        <w:tc>
          <w:tcPr>
            <w:tcW w:w="3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2"/>
      <w:numFmt w:val="bullet"/>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bullet"/>
      <w:start w:val="1"/>
    </w:lvl>
  </w:abstractNum>
  <w:abstractNum w:abstractNumId="21">
    <w:nsid w:val="4353D0CD"/>
    <w:multiLevelType w:val="hybridMultilevel"/>
    <w:lvl w:ilvl="0">
      <w:lvlJc w:val="left"/>
      <w:lvlText w:val="1"/>
      <w:numFmt w:val="bullet"/>
      <w:start w:val="1"/>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4"/>
      <w:numFmt w:val="bullet"/>
      <w:start w:val="1"/>
    </w:lvl>
  </w:abstractNum>
  <w:abstractNum w:abstractNumId="24">
    <w:nsid w:val="54E49EB4"/>
    <w:multiLevelType w:val="hybridMultilevel"/>
    <w:lvl w:ilvl="0">
      <w:lvlJc w:val="left"/>
      <w:lvlText w:val="5"/>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2" Type="http://schemas.openxmlformats.org/officeDocument/2006/relationships/image" Target="media/image60.png"/><Relationship Id="rId67" Type="http://schemas.openxmlformats.org/officeDocument/2006/relationships/hyperlink" Target="https://www.sec.gov/Archives/edgar/data/1898496/000110465924072842/tm2416969d1_ex3-1.htm" TargetMode="External"/><Relationship Id="rId68" Type="http://schemas.openxmlformats.org/officeDocument/2006/relationships/hyperlink" Target="https://www.sec.gov/Archives/edgar/data/1898496/000110465924072842/tm2416969d1_ex3-2.htm" TargetMode="External"/><Relationship Id="rId69" Type="http://schemas.openxmlformats.org/officeDocument/2006/relationships/hyperlink" Target="https://www.sec.gov/Archives/edgar/data/1898496/000121390025039834/ea024094501ex4-1_getty.htm" TargetMode="External"/><Relationship Id="rId70" Type="http://schemas.openxmlformats.org/officeDocument/2006/relationships/hyperlink" Target="https://www.sec.gov/Archives/edgar/data/1898496/000121390025039834/ea024094501ex4-1_getty.htm#exhA" TargetMode="External"/><Relationship Id="rId71" Type="http://schemas.openxmlformats.org/officeDocument/2006/relationships/hyperlink" Target="https://www.sec.gov/Archives/edgar/data/1898496/000121390025039834/ea024094501ex4-3_gett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2025-08-11T15:42:07Z</dcterms:created>
  <dcterms:modified xsi:type="dcterms:W3CDTF">2025-08-11T15:42:07Z</dcterms:modified>
</cp:coreProperties>
</file>